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48A" w:rsidRDefault="00923B73" w:rsidP="0090048A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Materials and Methods</w:t>
      </w:r>
    </w:p>
    <w:p w:rsidR="002D502D" w:rsidRPr="00A7322E" w:rsidRDefault="00113029" w:rsidP="0011302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Pr="00A7322E">
        <w:rPr>
          <w:rFonts w:ascii="Times New Roman" w:hAnsi="Times New Roman" w:cs="Times New Roman"/>
          <w:sz w:val="24"/>
          <w:szCs w:val="24"/>
          <w:lang w:val="en-US"/>
        </w:rPr>
        <w:t xml:space="preserve">was an </w:t>
      </w:r>
      <w:r w:rsidR="0090048A" w:rsidRPr="00A7322E">
        <w:rPr>
          <w:rFonts w:ascii="Times New Roman" w:hAnsi="Times New Roman" w:cs="Times New Roman"/>
          <w:sz w:val="24"/>
          <w:szCs w:val="24"/>
          <w:lang w:val="en-US"/>
        </w:rPr>
        <w:t xml:space="preserve">observational </w:t>
      </w:r>
      <w:r w:rsidRPr="00A7322E">
        <w:rPr>
          <w:rFonts w:ascii="Times New Roman" w:hAnsi="Times New Roman" w:cs="Times New Roman"/>
          <w:sz w:val="24"/>
          <w:szCs w:val="24"/>
          <w:lang w:val="en-US"/>
        </w:rPr>
        <w:t xml:space="preserve">cohort </w:t>
      </w:r>
      <w:r w:rsidR="0090048A" w:rsidRPr="00A7322E">
        <w:rPr>
          <w:rFonts w:ascii="Times New Roman" w:hAnsi="Times New Roman" w:cs="Times New Roman"/>
          <w:sz w:val="24"/>
          <w:szCs w:val="24"/>
          <w:lang w:val="en-US"/>
        </w:rPr>
        <w:t xml:space="preserve">study that was conducted over a nine month period from October 2018 to May 2019 at the Hidradenitis Suppurativa Clinic of the </w:t>
      </w:r>
      <w:r w:rsidR="00923B73" w:rsidRPr="00A7322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23B73" w:rsidRPr="00A7322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923B73" w:rsidRPr="00A732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048A" w:rsidRPr="00A7322E">
        <w:rPr>
          <w:rFonts w:ascii="Times New Roman" w:hAnsi="Times New Roman" w:cs="Times New Roman"/>
          <w:sz w:val="24"/>
          <w:szCs w:val="24"/>
          <w:lang w:val="en-US"/>
        </w:rPr>
        <w:t xml:space="preserve">Department </w:t>
      </w:r>
      <w:r w:rsidR="00923B73" w:rsidRPr="00A7322E">
        <w:rPr>
          <w:rFonts w:ascii="Times New Roman" w:hAnsi="Times New Roman" w:cs="Times New Roman"/>
          <w:sz w:val="24"/>
          <w:szCs w:val="24"/>
          <w:lang w:val="en-US"/>
        </w:rPr>
        <w:t xml:space="preserve">of Dermatology and Venereology, National and </w:t>
      </w:r>
      <w:proofErr w:type="spellStart"/>
      <w:r w:rsidR="00923B73" w:rsidRPr="00A7322E">
        <w:rPr>
          <w:rFonts w:ascii="Times New Roman" w:hAnsi="Times New Roman" w:cs="Times New Roman"/>
          <w:sz w:val="24"/>
          <w:szCs w:val="24"/>
          <w:lang w:val="en-US"/>
        </w:rPr>
        <w:t>Kapodistrian</w:t>
      </w:r>
      <w:proofErr w:type="spellEnd"/>
      <w:r w:rsidR="00923B73" w:rsidRPr="00A7322E">
        <w:rPr>
          <w:rFonts w:ascii="Times New Roman" w:hAnsi="Times New Roman" w:cs="Times New Roman"/>
          <w:sz w:val="24"/>
          <w:szCs w:val="24"/>
          <w:lang w:val="en-US"/>
        </w:rPr>
        <w:t xml:space="preserve"> University </w:t>
      </w:r>
      <w:r w:rsidR="0090048A" w:rsidRPr="00A7322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23B73" w:rsidRPr="00A7322E">
        <w:rPr>
          <w:rFonts w:ascii="Times New Roman" w:hAnsi="Times New Roman" w:cs="Times New Roman"/>
          <w:sz w:val="24"/>
          <w:szCs w:val="24"/>
          <w:lang w:val="en-US"/>
        </w:rPr>
        <w:t xml:space="preserve"> Athens at</w:t>
      </w:r>
      <w:r w:rsidR="0090048A" w:rsidRPr="00A732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048A" w:rsidRPr="00A7322E">
        <w:rPr>
          <w:rFonts w:ascii="Times New Roman" w:hAnsi="Times New Roman" w:cs="Times New Roman"/>
          <w:sz w:val="24"/>
          <w:szCs w:val="24"/>
          <w:lang w:val="en-US"/>
        </w:rPr>
        <w:t>Attikon</w:t>
      </w:r>
      <w:proofErr w:type="spellEnd"/>
      <w:r w:rsidR="0090048A" w:rsidRPr="00A732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B73" w:rsidRPr="00A7322E">
        <w:rPr>
          <w:rFonts w:ascii="Times New Roman" w:hAnsi="Times New Roman" w:cs="Times New Roman"/>
          <w:sz w:val="24"/>
          <w:szCs w:val="24"/>
          <w:lang w:val="en-US"/>
        </w:rPr>
        <w:t xml:space="preserve">General </w:t>
      </w:r>
      <w:r w:rsidR="0090048A" w:rsidRPr="00A7322E">
        <w:rPr>
          <w:rFonts w:ascii="Times New Roman" w:hAnsi="Times New Roman" w:cs="Times New Roman"/>
          <w:sz w:val="24"/>
          <w:szCs w:val="24"/>
          <w:lang w:val="en-US"/>
        </w:rPr>
        <w:t xml:space="preserve">University Hospital in Athens, Greece. </w:t>
      </w:r>
      <w:r w:rsidR="003410A9" w:rsidRPr="00A73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study was approved by the hospital Ethics Committee. </w:t>
      </w:r>
      <w:r w:rsidRPr="00A732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l-GR"/>
        </w:rPr>
        <w:t xml:space="preserve">Consecutive patients with a clinical diagnosis of HS, who have not taken any antibiotic treatment for any reason during the last three months, were enrolled. </w:t>
      </w:r>
      <w:r w:rsidR="003A357F" w:rsidRPr="00A732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l-GR"/>
        </w:rPr>
        <w:t xml:space="preserve">The </w:t>
      </w:r>
      <w:r w:rsidR="003A357F" w:rsidRPr="00A7322E">
        <w:rPr>
          <w:rStyle w:val="Hervorhebung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Hurley</w:t>
      </w:r>
      <w:r w:rsidR="003A357F" w:rsidRPr="00A732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5A6D6C" w:rsidRPr="00A732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score</w:t>
      </w:r>
      <w:r w:rsidR="003A357F" w:rsidRPr="00A7322E">
        <w:rPr>
          <w:rStyle w:val="Hervorhebung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 was used for HS patients</w:t>
      </w:r>
      <w:r w:rsidR="003A357F" w:rsidRPr="00A73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 All </w:t>
      </w:r>
      <w:r w:rsidR="003410A9" w:rsidRPr="00A73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patients gave their i</w:t>
      </w:r>
      <w:r w:rsidR="003410A9" w:rsidRPr="00A7322E">
        <w:rPr>
          <w:rFonts w:ascii="Times New Roman" w:hAnsi="Times New Roman" w:cs="Times New Roman"/>
          <w:sz w:val="24"/>
          <w:szCs w:val="24"/>
          <w:lang w:val="en-US"/>
        </w:rPr>
        <w:t xml:space="preserve">nformed consent. </w:t>
      </w:r>
      <w:r w:rsidR="002D502D" w:rsidRPr="00A7322E">
        <w:rPr>
          <w:rFonts w:ascii="Times New Roman" w:hAnsi="Times New Roman" w:cs="Times New Roman"/>
          <w:sz w:val="24"/>
          <w:szCs w:val="24"/>
          <w:lang w:val="en-US"/>
        </w:rPr>
        <w:t xml:space="preserve">In all patients, a complete history was obtained. Clinical examination </w:t>
      </w:r>
      <w:r w:rsidR="002D502D" w:rsidRPr="00A73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was performed by two</w:t>
      </w:r>
      <w:r w:rsidR="0090048A" w:rsidRPr="00A73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qualified dermatologists</w:t>
      </w:r>
      <w:r w:rsidR="002D502D" w:rsidRPr="00A73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</w:p>
    <w:p w:rsidR="0090048A" w:rsidRPr="00A7322E" w:rsidRDefault="0090048A" w:rsidP="0090048A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7322E">
        <w:rPr>
          <w:rFonts w:ascii="Times New Roman" w:hAnsi="Times New Roman" w:cs="Times New Roman"/>
          <w:i/>
          <w:sz w:val="24"/>
          <w:szCs w:val="24"/>
          <w:lang w:val="en-US"/>
        </w:rPr>
        <w:t>Sample collection and determination of S</w:t>
      </w:r>
      <w:r w:rsidR="00923B73" w:rsidRPr="00A7322E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A732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aureus g</w:t>
      </w:r>
      <w:r w:rsidR="00923B73" w:rsidRPr="00A7322E">
        <w:rPr>
          <w:rFonts w:ascii="Times New Roman" w:hAnsi="Times New Roman" w:cs="Times New Roman"/>
          <w:i/>
          <w:sz w:val="24"/>
          <w:szCs w:val="24"/>
          <w:lang w:val="en-US"/>
        </w:rPr>
        <w:t>rowth and antibiotic resistance</w:t>
      </w:r>
    </w:p>
    <w:p w:rsidR="00A14B5D" w:rsidRPr="00A7322E" w:rsidRDefault="0090048A" w:rsidP="00FA3F8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7322E">
        <w:rPr>
          <w:rFonts w:ascii="Times New Roman" w:hAnsi="Times New Roman" w:cs="Times New Roman"/>
          <w:sz w:val="24"/>
          <w:szCs w:val="24"/>
          <w:lang w:val="en-US"/>
        </w:rPr>
        <w:t xml:space="preserve"> Specimens were collected with a sterile polyester swab from the anterior nares and oropharynx by rotating the swab with light pressure.</w:t>
      </w:r>
      <w:r w:rsidR="00923B73" w:rsidRPr="00A7322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FA3F8E" w:rsidRPr="00A7322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The screening areas were the nostrils and the throat. The axilla, femoral and perirectal areas were not screened, since HS patients usually apply topical antiseptics on these areas </w:t>
      </w:r>
      <w:r w:rsidR="00455DD2" w:rsidRPr="00A7322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that</w:t>
      </w:r>
      <w:r w:rsidR="00FA3F8E" w:rsidRPr="00A7322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could possibly affect the </w:t>
      </w:r>
      <w:r w:rsidR="00FA3F8E" w:rsidRPr="00A7322E">
        <w:rPr>
          <w:rFonts w:ascii="Times New Roman" w:hAnsi="Times New Roman" w:cs="Times New Roman"/>
          <w:i/>
          <w:sz w:val="24"/>
          <w:szCs w:val="24"/>
          <w:lang w:val="en-US"/>
        </w:rPr>
        <w:t>S. aureus</w:t>
      </w:r>
      <w:r w:rsidR="00FA3F8E" w:rsidRPr="00A7322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status.</w:t>
      </w:r>
      <w:r w:rsidR="00E174D3" w:rsidRPr="00A7322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  </w:t>
      </w:r>
      <w:r w:rsidR="00E174D3" w:rsidRPr="00A732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Swabs were first </w:t>
      </w:r>
      <w:r w:rsidR="0097156F" w:rsidRPr="00A732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inoculated</w:t>
      </w:r>
      <w:r w:rsidR="00E174D3" w:rsidRPr="00A732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 </w:t>
      </w:r>
      <w:proofErr w:type="spellStart"/>
      <w:r w:rsidR="00E174D3" w:rsidRPr="00A732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thioglycollate</w:t>
      </w:r>
      <w:proofErr w:type="spellEnd"/>
      <w:r w:rsidR="00E174D3" w:rsidRPr="00A732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enrichment broth </w:t>
      </w:r>
      <w:r w:rsidR="0097156F" w:rsidRPr="00A732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overnight at 35</w:t>
      </w:r>
      <w:r w:rsidR="0097156F" w:rsidRPr="00A7322E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0</w:t>
      </w:r>
      <w:r w:rsidR="0097156F" w:rsidRPr="00A732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 to 37</w:t>
      </w:r>
      <w:r w:rsidR="0097156F" w:rsidRPr="00A7322E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0</w:t>
      </w:r>
      <w:r w:rsidR="0097156F" w:rsidRPr="00A732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 w:rsidR="00923B73" w:rsidRPr="00A732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97156F" w:rsidRPr="00A732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E174D3" w:rsidRPr="00A732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and</w:t>
      </w:r>
      <w:r w:rsidR="0097156F" w:rsidRPr="00A732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923B73" w:rsidRPr="00A732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then they </w:t>
      </w:r>
      <w:r w:rsidR="0097156F" w:rsidRPr="00A732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were</w:t>
      </w:r>
      <w:r w:rsidR="00E174D3" w:rsidRPr="00A732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streaked on both mannitol salt agar</w:t>
      </w:r>
      <w:r w:rsidR="00A14B5D" w:rsidRPr="00A732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 5% sheep blood agar plates. </w:t>
      </w:r>
      <w:r w:rsidR="00A14B5D" w:rsidRPr="00A732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4B5D" w:rsidRPr="00A732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plates </w:t>
      </w:r>
      <w:r w:rsidR="0097156F" w:rsidRPr="00A732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were </w:t>
      </w:r>
      <w:r w:rsidR="00A14B5D" w:rsidRPr="00A732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incubated at 35</w:t>
      </w:r>
      <w:r w:rsidR="00A14B5D" w:rsidRPr="00A7322E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0</w:t>
      </w:r>
      <w:r w:rsidR="00A14B5D" w:rsidRPr="00A732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 to 37</w:t>
      </w:r>
      <w:r w:rsidR="00A14B5D" w:rsidRPr="00A7322E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0</w:t>
      </w:r>
      <w:r w:rsidR="00A14B5D" w:rsidRPr="00A732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 for up to 48 hours.</w:t>
      </w:r>
    </w:p>
    <w:p w:rsidR="004C72CC" w:rsidRPr="00A7322E" w:rsidRDefault="00E174D3" w:rsidP="00113029">
      <w:pPr>
        <w:spacing w:before="24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2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Identification was performed based on colonial morphology, Gram stain, catalase, latex agglutination testing for coagulase detection and </w:t>
      </w:r>
      <w:r w:rsidR="009B2716" w:rsidRPr="00A732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was </w:t>
      </w:r>
      <w:r w:rsidRPr="00A732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finally confirmed by the use of VITEK 2 system (</w:t>
      </w:r>
      <w:proofErr w:type="spellStart"/>
      <w:r w:rsidRPr="00A732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bioMerieux</w:t>
      </w:r>
      <w:proofErr w:type="spellEnd"/>
      <w:r w:rsidRPr="00A732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Marcy-</w:t>
      </w:r>
      <w:proofErr w:type="spellStart"/>
      <w:r w:rsidRPr="00A732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l'Étoile</w:t>
      </w:r>
      <w:proofErr w:type="spellEnd"/>
      <w:r w:rsidRPr="00A732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France). </w:t>
      </w:r>
      <w:r w:rsidR="0090048A" w:rsidRPr="00A7322E">
        <w:rPr>
          <w:rFonts w:ascii="Times New Roman" w:hAnsi="Times New Roman" w:cs="Times New Roman"/>
          <w:sz w:val="24"/>
          <w:szCs w:val="24"/>
          <w:lang w:val="en-US"/>
        </w:rPr>
        <w:t xml:space="preserve">Antibiotic susceptibility testing was performed on all </w:t>
      </w:r>
      <w:r w:rsidR="0090048A" w:rsidRPr="00A7322E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7E7B85" w:rsidRPr="00A7322E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90048A" w:rsidRPr="00A732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aureus</w:t>
      </w:r>
      <w:r w:rsidR="0090048A" w:rsidRPr="00A7322E">
        <w:rPr>
          <w:rFonts w:ascii="Times New Roman" w:hAnsi="Times New Roman" w:cs="Times New Roman"/>
          <w:sz w:val="24"/>
          <w:szCs w:val="24"/>
          <w:lang w:val="en-US"/>
        </w:rPr>
        <w:t xml:space="preserve"> isolates using the VITEK 2 system </w:t>
      </w:r>
      <w:r w:rsidR="009B2716" w:rsidRPr="00A7322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9B2716" w:rsidRPr="00A7322E">
        <w:rPr>
          <w:rFonts w:ascii="Times New Roman" w:hAnsi="Times New Roman" w:cs="Times New Roman"/>
          <w:sz w:val="24"/>
          <w:szCs w:val="24"/>
          <w:lang w:val="en-US"/>
        </w:rPr>
        <w:t>bioMerieux</w:t>
      </w:r>
      <w:proofErr w:type="spellEnd"/>
      <w:r w:rsidR="009B2716" w:rsidRPr="00A7322E">
        <w:rPr>
          <w:rFonts w:ascii="Times New Roman" w:hAnsi="Times New Roman" w:cs="Times New Roman"/>
          <w:sz w:val="24"/>
          <w:szCs w:val="24"/>
          <w:lang w:val="en-US"/>
        </w:rPr>
        <w:t>, Marcy-</w:t>
      </w:r>
      <w:proofErr w:type="spellStart"/>
      <w:r w:rsidR="009B2716" w:rsidRPr="00A7322E">
        <w:rPr>
          <w:rFonts w:ascii="Times New Roman" w:hAnsi="Times New Roman" w:cs="Times New Roman"/>
          <w:sz w:val="24"/>
          <w:szCs w:val="24"/>
          <w:lang w:val="en-US"/>
        </w:rPr>
        <w:t>l’Etoile</w:t>
      </w:r>
      <w:proofErr w:type="spellEnd"/>
      <w:r w:rsidR="009B2716" w:rsidRPr="00A7322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0048A" w:rsidRPr="00A7322E">
        <w:rPr>
          <w:rFonts w:ascii="Times New Roman" w:hAnsi="Times New Roman" w:cs="Times New Roman"/>
          <w:sz w:val="24"/>
          <w:szCs w:val="24"/>
          <w:lang w:val="en-US"/>
        </w:rPr>
        <w:t xml:space="preserve"> France). </w:t>
      </w:r>
    </w:p>
    <w:p w:rsidR="004C72CC" w:rsidRPr="00A7322E" w:rsidRDefault="00FD03D5" w:rsidP="004C72CC">
      <w:pPr>
        <w:spacing w:before="240"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7322E">
        <w:rPr>
          <w:rFonts w:ascii="Times New Roman" w:hAnsi="Times New Roman" w:cs="Times New Roman"/>
          <w:sz w:val="24"/>
          <w:szCs w:val="24"/>
          <w:lang w:val="en-US"/>
        </w:rPr>
        <w:lastRenderedPageBreak/>
        <w:t>Isolates were also tested for induced clindamycin resistance (IC</w:t>
      </w:r>
      <w:r w:rsidR="0090048A" w:rsidRPr="00A7322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7322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0048A" w:rsidRPr="00A7322E">
        <w:rPr>
          <w:rFonts w:ascii="Times New Roman" w:hAnsi="Times New Roman" w:cs="Times New Roman"/>
          <w:sz w:val="24"/>
          <w:szCs w:val="24"/>
          <w:lang w:val="en-US"/>
        </w:rPr>
        <w:t xml:space="preserve"> and methicillin resistance with the cefoxitin screen.</w:t>
      </w:r>
      <w:r w:rsidR="007E7B85" w:rsidRPr="00A73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113029" w:rsidRPr="00A73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Isolates were defined as MRSA when the cefoxitin screen was positive</w:t>
      </w:r>
      <w:r w:rsidR="00C77C95" w:rsidRPr="00A73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[4]</w:t>
      </w:r>
      <w:r w:rsidR="00113029" w:rsidRPr="00A73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4C72CC" w:rsidRPr="00A7322E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n-US" w:eastAsia="el-GR"/>
        </w:rPr>
        <w:t xml:space="preserve">All </w:t>
      </w:r>
      <w:r w:rsidR="004C72CC" w:rsidRPr="00A7322E">
        <w:rPr>
          <w:rFonts w:ascii="Times New Roman" w:eastAsia="Times New Roman" w:hAnsi="Times New Roman" w:cs="Times New Roman"/>
          <w:i/>
          <w:color w:val="0A0A0A"/>
          <w:sz w:val="24"/>
          <w:szCs w:val="24"/>
          <w:shd w:val="clear" w:color="auto" w:fill="FFFFFF"/>
          <w:lang w:val="en-US" w:eastAsia="el-GR"/>
        </w:rPr>
        <w:t xml:space="preserve">S. aureus </w:t>
      </w:r>
      <w:r w:rsidR="004C72CC" w:rsidRPr="00A7322E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n-US" w:eastAsia="el-GR"/>
        </w:rPr>
        <w:t xml:space="preserve">isolates were tested for antibiotic resistance for the following antibiotics:  </w:t>
      </w:r>
      <w:r w:rsidR="004C72CC" w:rsidRPr="00A7322E">
        <w:rPr>
          <w:rFonts w:ascii="Times New Roman" w:hAnsi="Times New Roman" w:cs="Times New Roman"/>
          <w:sz w:val="24"/>
          <w:szCs w:val="24"/>
          <w:lang w:val="en-US"/>
        </w:rPr>
        <w:t xml:space="preserve">benzylpenicillin, </w:t>
      </w:r>
      <w:proofErr w:type="gramStart"/>
      <w:r w:rsidR="004C72CC" w:rsidRPr="00A7322E">
        <w:rPr>
          <w:rFonts w:ascii="Times New Roman" w:hAnsi="Times New Roman" w:cs="Times New Roman"/>
          <w:sz w:val="24"/>
          <w:szCs w:val="24"/>
          <w:lang w:val="en-US"/>
        </w:rPr>
        <w:t>oxacillin ,</w:t>
      </w:r>
      <w:proofErr w:type="gramEnd"/>
      <w:r w:rsidR="004C72CC" w:rsidRPr="00A7322E">
        <w:rPr>
          <w:rFonts w:ascii="Times New Roman" w:hAnsi="Times New Roman" w:cs="Times New Roman"/>
          <w:sz w:val="24"/>
          <w:szCs w:val="24"/>
          <w:lang w:val="en-US"/>
        </w:rPr>
        <w:t xml:space="preserve"> erythromycin, clindamycin, </w:t>
      </w:r>
      <w:proofErr w:type="spellStart"/>
      <w:r w:rsidR="004C72CC" w:rsidRPr="00A7322E">
        <w:rPr>
          <w:rFonts w:ascii="Times New Roman" w:hAnsi="Times New Roman" w:cs="Times New Roman"/>
          <w:sz w:val="24"/>
          <w:szCs w:val="24"/>
          <w:lang w:val="en-US"/>
        </w:rPr>
        <w:t>fosfomycin</w:t>
      </w:r>
      <w:proofErr w:type="spellEnd"/>
      <w:r w:rsidR="004C72CC" w:rsidRPr="00A732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C72CC" w:rsidRPr="00A7322E">
        <w:rPr>
          <w:rFonts w:ascii="Times New Roman" w:hAnsi="Times New Roman" w:cs="Times New Roman"/>
          <w:sz w:val="24"/>
          <w:szCs w:val="24"/>
          <w:lang w:val="en-US"/>
        </w:rPr>
        <w:t>fusidic</w:t>
      </w:r>
      <w:proofErr w:type="spellEnd"/>
      <w:r w:rsidR="004C72CC" w:rsidRPr="00A7322E">
        <w:rPr>
          <w:rFonts w:ascii="Times New Roman" w:hAnsi="Times New Roman" w:cs="Times New Roman"/>
          <w:sz w:val="24"/>
          <w:szCs w:val="24"/>
          <w:lang w:val="en-US"/>
        </w:rPr>
        <w:t xml:space="preserve"> acid, ampicillin/sulbactam , moxifloxacin, levofloxacin, linezolid, teicoplanin, vancomycin, tetracycline, t</w:t>
      </w:r>
      <w:r w:rsidR="00EB6566" w:rsidRPr="00A7322E">
        <w:rPr>
          <w:rFonts w:ascii="Times New Roman" w:hAnsi="Times New Roman" w:cs="Times New Roman"/>
          <w:sz w:val="24"/>
          <w:szCs w:val="24"/>
          <w:lang w:val="en-US"/>
        </w:rPr>
        <w:t>igecycline, nitrofurantoin and trimethoprim/s</w:t>
      </w:r>
      <w:r w:rsidR="004C72CC" w:rsidRPr="00A7322E">
        <w:rPr>
          <w:rFonts w:ascii="Times New Roman" w:hAnsi="Times New Roman" w:cs="Times New Roman"/>
          <w:sz w:val="24"/>
          <w:szCs w:val="24"/>
          <w:lang w:val="en-US"/>
        </w:rPr>
        <w:t xml:space="preserve">ulfamethoxazole, gentamicin, tobramycin, </w:t>
      </w:r>
      <w:proofErr w:type="spellStart"/>
      <w:r w:rsidR="004C72CC" w:rsidRPr="00A7322E">
        <w:rPr>
          <w:rFonts w:ascii="Times New Roman" w:hAnsi="Times New Roman" w:cs="Times New Roman"/>
          <w:sz w:val="24"/>
          <w:szCs w:val="24"/>
          <w:lang w:val="en-US"/>
        </w:rPr>
        <w:t>ciproflocacin</w:t>
      </w:r>
      <w:proofErr w:type="spellEnd"/>
      <w:r w:rsidR="004C72CC" w:rsidRPr="00A7322E">
        <w:rPr>
          <w:rFonts w:ascii="Times New Roman" w:hAnsi="Times New Roman" w:cs="Times New Roman"/>
          <w:sz w:val="24"/>
          <w:szCs w:val="24"/>
          <w:lang w:val="en-US"/>
        </w:rPr>
        <w:t xml:space="preserve"> and rifampicin.</w:t>
      </w:r>
      <w:r w:rsidR="00DE19BE" w:rsidRPr="00A732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72CC" w:rsidRPr="00A7322E">
        <w:rPr>
          <w:rFonts w:ascii="Times New Roman" w:hAnsi="Times New Roman" w:cs="Times New Roman"/>
          <w:sz w:val="24"/>
          <w:szCs w:val="24"/>
          <w:lang w:val="en-US"/>
        </w:rPr>
        <w:t>All isolates were also tested for induced clindamycin resistance (ICR).</w:t>
      </w:r>
    </w:p>
    <w:p w:rsidR="0090048A" w:rsidRPr="00A7322E" w:rsidRDefault="007E7B85" w:rsidP="0090048A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73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MRSA colonization was defined as cultures growing MRSA from at least one body site, anterior nares or nasopharynx. Colonization with methicillin sensitive </w:t>
      </w:r>
      <w:r w:rsidRPr="00A732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Staphylococcus aureus</w:t>
      </w:r>
      <w:r w:rsidRPr="00A73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(MSSA) was defined as patients harboring MSSA alone, without MRSA isolation from any of the sites.</w:t>
      </w:r>
    </w:p>
    <w:p w:rsidR="0090048A" w:rsidRPr="002717EA" w:rsidRDefault="0090048A" w:rsidP="0090048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22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Statistical analysis</w:t>
      </w:r>
      <w:r w:rsidRPr="00A7322E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r w:rsidR="00AD7C6C" w:rsidRPr="00A7322E">
        <w:rPr>
          <w:rFonts w:ascii="Times New Roman" w:hAnsi="Times New Roman" w:cs="Times New Roman"/>
          <w:sz w:val="24"/>
          <w:szCs w:val="24"/>
          <w:lang w:val="en-US"/>
        </w:rPr>
        <w:t>All data collected were entered to a database</w:t>
      </w:r>
      <w:r w:rsidR="0083391F" w:rsidRPr="00A7322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F16372" w:rsidRPr="00A7322E">
        <w:rPr>
          <w:rFonts w:ascii="Times New Roman" w:hAnsi="Times New Roman" w:cs="Times New Roman"/>
          <w:sz w:val="24"/>
          <w:szCs w:val="24"/>
          <w:lang w:val="en-US"/>
        </w:rPr>
        <w:t>analy</w:t>
      </w:r>
      <w:r w:rsidR="002717EA" w:rsidRPr="00A7322E">
        <w:rPr>
          <w:rFonts w:ascii="Times New Roman" w:hAnsi="Times New Roman" w:cs="Times New Roman"/>
          <w:sz w:val="24"/>
          <w:szCs w:val="24"/>
          <w:lang w:val="en-US"/>
        </w:rPr>
        <w:t>zed</w:t>
      </w:r>
      <w:r w:rsidR="0083391F" w:rsidRPr="00A7322E">
        <w:rPr>
          <w:rFonts w:ascii="Times New Roman" w:hAnsi="Times New Roman" w:cs="Times New Roman"/>
          <w:sz w:val="24"/>
          <w:szCs w:val="24"/>
          <w:lang w:val="en-US"/>
        </w:rPr>
        <w:t xml:space="preserve"> using IBM SPSS Statistics 25.</w:t>
      </w:r>
      <w:r w:rsidR="00AD7C6C" w:rsidRPr="00A732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391F" w:rsidRPr="00A7322E">
        <w:rPr>
          <w:rFonts w:ascii="Times New Roman" w:hAnsi="Times New Roman" w:cs="Times New Roman"/>
          <w:sz w:val="24"/>
          <w:szCs w:val="24"/>
          <w:lang w:val="en-US"/>
        </w:rPr>
        <w:t xml:space="preserve"> Relative and absolute </w:t>
      </w:r>
      <w:r w:rsidR="00AD7C6C" w:rsidRPr="00A7322E">
        <w:rPr>
          <w:rFonts w:ascii="Times New Roman" w:hAnsi="Times New Roman" w:cs="Times New Roman"/>
          <w:sz w:val="24"/>
          <w:szCs w:val="24"/>
          <w:lang w:val="en-US"/>
        </w:rPr>
        <w:t xml:space="preserve">frequencies were </w:t>
      </w:r>
      <w:r w:rsidR="00F16372" w:rsidRPr="00A7322E">
        <w:rPr>
          <w:rFonts w:ascii="Times New Roman" w:hAnsi="Times New Roman" w:cs="Times New Roman"/>
          <w:sz w:val="24"/>
          <w:szCs w:val="24"/>
          <w:lang w:val="en-US"/>
        </w:rPr>
        <w:t>calculated</w:t>
      </w:r>
      <w:r w:rsidR="00AD7C6C" w:rsidRPr="00A7322E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83391F" w:rsidRPr="00A7322E">
        <w:rPr>
          <w:rFonts w:ascii="Times New Roman" w:hAnsi="Times New Roman" w:cs="Times New Roman"/>
          <w:sz w:val="24"/>
          <w:szCs w:val="24"/>
          <w:lang w:val="en-US"/>
        </w:rPr>
        <w:t xml:space="preserve">qualitative variables while mean (or median) and </w:t>
      </w:r>
      <w:r w:rsidR="00AD7C6C" w:rsidRPr="00A7322E">
        <w:rPr>
          <w:rFonts w:ascii="Times New Roman" w:hAnsi="Times New Roman" w:cs="Times New Roman"/>
          <w:sz w:val="24"/>
          <w:szCs w:val="24"/>
          <w:lang w:val="en-US"/>
        </w:rPr>
        <w:t xml:space="preserve">standard deviation was used for continuous variables. </w:t>
      </w:r>
      <w:r w:rsidR="0083391F" w:rsidRPr="00A7322E">
        <w:rPr>
          <w:rFonts w:ascii="Times New Roman" w:hAnsi="Times New Roman" w:cs="Times New Roman"/>
          <w:sz w:val="24"/>
          <w:szCs w:val="24"/>
          <w:lang w:val="en-US"/>
        </w:rPr>
        <w:t>Chi-square test was used for the univariate anal</w:t>
      </w:r>
      <w:r w:rsidR="00F86D90" w:rsidRPr="00A7322E">
        <w:rPr>
          <w:rFonts w:ascii="Times New Roman" w:hAnsi="Times New Roman" w:cs="Times New Roman"/>
          <w:sz w:val="24"/>
          <w:szCs w:val="24"/>
          <w:lang w:val="en-US"/>
        </w:rPr>
        <w:t xml:space="preserve">ysis of qualitative variables </w:t>
      </w:r>
      <w:r w:rsidR="0083391F" w:rsidRPr="00A7322E">
        <w:rPr>
          <w:rFonts w:ascii="Times New Roman" w:hAnsi="Times New Roman" w:cs="Times New Roman"/>
          <w:sz w:val="24"/>
          <w:szCs w:val="24"/>
          <w:lang w:val="en-US"/>
        </w:rPr>
        <w:t>and students t-test or Mann Whitney for the univariate analysis of continuous data. Continuous data were assessed for normality using Ko</w:t>
      </w:r>
      <w:bookmarkStart w:id="0" w:name="_GoBack"/>
      <w:bookmarkEnd w:id="0"/>
      <w:r w:rsidR="0083391F" w:rsidRPr="00A7322E">
        <w:rPr>
          <w:rFonts w:ascii="Times New Roman" w:hAnsi="Times New Roman" w:cs="Times New Roman"/>
          <w:sz w:val="24"/>
          <w:szCs w:val="24"/>
          <w:lang w:val="en-US"/>
        </w:rPr>
        <w:t xml:space="preserve">lmogorov-Smirnov test. </w:t>
      </w:r>
      <w:r w:rsidR="004C72CC" w:rsidRPr="00A7322E">
        <w:rPr>
          <w:rFonts w:ascii="Times New Roman" w:hAnsi="Times New Roman" w:cs="Times New Roman"/>
          <w:sz w:val="24"/>
          <w:szCs w:val="24"/>
          <w:lang w:val="en-US"/>
        </w:rPr>
        <w:t xml:space="preserve">Bonferroni test was used to correct for type </w:t>
      </w:r>
      <w:r w:rsidR="00DE19BE" w:rsidRPr="00A7322E">
        <w:rPr>
          <w:rFonts w:ascii="Times New Roman" w:hAnsi="Times New Roman" w:cs="Times New Roman"/>
          <w:sz w:val="24"/>
          <w:szCs w:val="24"/>
          <w:lang w:val="en-US"/>
        </w:rPr>
        <w:t>1 error</w:t>
      </w:r>
      <w:r w:rsidR="004C72CC" w:rsidRPr="00A732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3391F" w:rsidRPr="00A7322E">
        <w:rPr>
          <w:rFonts w:ascii="Times New Roman" w:hAnsi="Times New Roman" w:cs="Times New Roman"/>
          <w:sz w:val="24"/>
          <w:szCs w:val="24"/>
          <w:lang w:val="en-US"/>
        </w:rPr>
        <w:t>The level of statistical significance was set at 0.05.</w:t>
      </w:r>
    </w:p>
    <w:p w:rsidR="00F252FC" w:rsidRPr="0090048A" w:rsidRDefault="00A7322E">
      <w:pPr>
        <w:rPr>
          <w:sz w:val="24"/>
          <w:szCs w:val="24"/>
          <w:lang w:val="en-US"/>
        </w:rPr>
      </w:pPr>
    </w:p>
    <w:sectPr w:rsidR="00F252FC" w:rsidRPr="0090048A" w:rsidSect="00466C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BF2"/>
    <w:rsid w:val="0004048C"/>
    <w:rsid w:val="00065B3F"/>
    <w:rsid w:val="000C749C"/>
    <w:rsid w:val="00113029"/>
    <w:rsid w:val="002717EA"/>
    <w:rsid w:val="002D502D"/>
    <w:rsid w:val="003410A9"/>
    <w:rsid w:val="00384A39"/>
    <w:rsid w:val="003A357F"/>
    <w:rsid w:val="00455DD2"/>
    <w:rsid w:val="00466C2D"/>
    <w:rsid w:val="004B5AFF"/>
    <w:rsid w:val="004C72CC"/>
    <w:rsid w:val="00581B99"/>
    <w:rsid w:val="005A6D6C"/>
    <w:rsid w:val="00780B26"/>
    <w:rsid w:val="007E7B85"/>
    <w:rsid w:val="00810E9A"/>
    <w:rsid w:val="0083391F"/>
    <w:rsid w:val="008C5370"/>
    <w:rsid w:val="0090048A"/>
    <w:rsid w:val="0091194C"/>
    <w:rsid w:val="00923B73"/>
    <w:rsid w:val="0097156F"/>
    <w:rsid w:val="009B2716"/>
    <w:rsid w:val="009B3F6C"/>
    <w:rsid w:val="00A14B5D"/>
    <w:rsid w:val="00A6005F"/>
    <w:rsid w:val="00A7322E"/>
    <w:rsid w:val="00AD7C6C"/>
    <w:rsid w:val="00B5191B"/>
    <w:rsid w:val="00C14405"/>
    <w:rsid w:val="00C77C95"/>
    <w:rsid w:val="00DE19BE"/>
    <w:rsid w:val="00DF2F70"/>
    <w:rsid w:val="00E174D3"/>
    <w:rsid w:val="00E7544A"/>
    <w:rsid w:val="00EB6566"/>
    <w:rsid w:val="00ED345B"/>
    <w:rsid w:val="00EF0BF2"/>
    <w:rsid w:val="00F00A88"/>
    <w:rsid w:val="00F16372"/>
    <w:rsid w:val="00F86D90"/>
    <w:rsid w:val="00FA3F8E"/>
    <w:rsid w:val="00FD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B35B412-A397-4F48-8AFC-DCE58FB7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04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F70"/>
    <w:rPr>
      <w:rFonts w:ascii="Segoe UI" w:hAnsi="Segoe UI" w:cs="Segoe UI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3A35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Nathalie Rast</cp:lastModifiedBy>
  <cp:revision>19</cp:revision>
  <cp:lastPrinted>2019-06-10T11:33:00Z</cp:lastPrinted>
  <dcterms:created xsi:type="dcterms:W3CDTF">2019-07-03T14:13:00Z</dcterms:created>
  <dcterms:modified xsi:type="dcterms:W3CDTF">2019-11-26T09:42:00Z</dcterms:modified>
</cp:coreProperties>
</file>