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B8372" w14:textId="77777777" w:rsidR="0036050E" w:rsidRPr="00C258EA" w:rsidRDefault="0036050E" w:rsidP="0036050E">
      <w:pPr>
        <w:spacing w:line="480" w:lineRule="auto"/>
        <w:rPr>
          <w:rFonts w:ascii="Times New Roman" w:hAnsi="Times New Roman" w:cs="Times New Roman"/>
          <w:b/>
        </w:rPr>
      </w:pPr>
      <w:r w:rsidRPr="00C258EA">
        <w:rPr>
          <w:rFonts w:ascii="Times New Roman" w:hAnsi="Times New Roman" w:cs="Times New Roman"/>
          <w:b/>
        </w:rPr>
        <w:t xml:space="preserve">Online Supplementary Content </w:t>
      </w:r>
    </w:p>
    <w:p w14:paraId="36CE66C9" w14:textId="77777777" w:rsidR="0036050E" w:rsidRPr="00C258EA" w:rsidRDefault="0036050E" w:rsidP="0036050E">
      <w:pPr>
        <w:spacing w:line="480" w:lineRule="auto"/>
        <w:jc w:val="both"/>
        <w:rPr>
          <w:rFonts w:ascii="Times New Roman" w:hAnsi="Times New Roman" w:cs="Times New Roman"/>
        </w:rPr>
      </w:pPr>
      <w:r w:rsidRPr="00C258EA">
        <w:rPr>
          <w:rFonts w:ascii="Times New Roman" w:hAnsi="Times New Roman" w:cs="Times New Roman"/>
          <w:u w:val="single"/>
        </w:rPr>
        <w:t xml:space="preserve">Supplementary methods: Clinical and </w:t>
      </w:r>
      <w:proofErr w:type="spellStart"/>
      <w:r w:rsidRPr="00C258EA">
        <w:rPr>
          <w:rFonts w:ascii="Times New Roman" w:hAnsi="Times New Roman" w:cs="Times New Roman"/>
          <w:u w:val="single"/>
        </w:rPr>
        <w:t>histopathological</w:t>
      </w:r>
      <w:proofErr w:type="spellEnd"/>
      <w:r w:rsidRPr="00C258EA">
        <w:rPr>
          <w:rFonts w:ascii="Times New Roman" w:hAnsi="Times New Roman" w:cs="Times New Roman"/>
          <w:u w:val="single"/>
        </w:rPr>
        <w:t xml:space="preserve"> re–assessment</w:t>
      </w:r>
    </w:p>
    <w:p w14:paraId="2749F39B" w14:textId="77777777" w:rsidR="0036050E" w:rsidRPr="00C258EA" w:rsidRDefault="0036050E" w:rsidP="0036050E">
      <w:pPr>
        <w:spacing w:line="480" w:lineRule="auto"/>
        <w:jc w:val="both"/>
        <w:rPr>
          <w:rFonts w:ascii="Times New Roman" w:hAnsi="Times New Roman" w:cs="Times New Roman"/>
        </w:rPr>
      </w:pPr>
      <w:r w:rsidRPr="00C258EA">
        <w:rPr>
          <w:rFonts w:ascii="Times New Roman" w:hAnsi="Times New Roman" w:cs="Times New Roman"/>
        </w:rPr>
        <w:t xml:space="preserve">Clinical data was obtained from the medical health records and the baseline variables were obtained at the time of </w:t>
      </w:r>
      <w:proofErr w:type="spellStart"/>
      <w:r w:rsidRPr="00C258EA">
        <w:rPr>
          <w:rFonts w:ascii="Times New Roman" w:hAnsi="Times New Roman" w:cs="Times New Roman"/>
        </w:rPr>
        <w:t>histopathologic</w:t>
      </w:r>
      <w:proofErr w:type="spellEnd"/>
      <w:r w:rsidRPr="00C258EA">
        <w:rPr>
          <w:rFonts w:ascii="Times New Roman" w:hAnsi="Times New Roman" w:cs="Times New Roman"/>
        </w:rPr>
        <w:t xml:space="preserve"> diagnosis. Tumor stage was determined according to the Union for International Cancer Control Classification (UICC) of Malignant Tumors, 8</w:t>
      </w:r>
      <w:r w:rsidRPr="00C258EA">
        <w:rPr>
          <w:rFonts w:ascii="Times New Roman" w:hAnsi="Times New Roman" w:cs="Times New Roman"/>
          <w:vertAlign w:val="superscript"/>
        </w:rPr>
        <w:t>th</w:t>
      </w:r>
      <w:r w:rsidRPr="00C258EA">
        <w:rPr>
          <w:rFonts w:ascii="Times New Roman" w:hAnsi="Times New Roman" w:cs="Times New Roman"/>
        </w:rPr>
        <w:t xml:space="preserve"> </w:t>
      </w:r>
      <w:proofErr w:type="gramStart"/>
      <w:r w:rsidRPr="00C258EA">
        <w:rPr>
          <w:rFonts w:ascii="Times New Roman" w:hAnsi="Times New Roman" w:cs="Times New Roman"/>
        </w:rPr>
        <w:t>edition</w:t>
      </w:r>
      <w:r w:rsidRPr="00C258EA">
        <w:rPr>
          <w:rFonts w:ascii="Times New Roman" w:hAnsi="Times New Roman" w:cs="Times New Roman"/>
          <w:noProof/>
        </w:rPr>
        <w:t>[</w:t>
      </w:r>
      <w:proofErr w:type="gramEnd"/>
      <w:r w:rsidRPr="00C258EA">
        <w:rPr>
          <w:rFonts w:ascii="Times New Roman" w:hAnsi="Times New Roman" w:cs="Times New Roman"/>
          <w:noProof/>
        </w:rPr>
        <w:t>16]</w:t>
      </w:r>
      <w:r w:rsidRPr="00C258EA">
        <w:rPr>
          <w:rFonts w:ascii="Times New Roman" w:hAnsi="Times New Roman" w:cs="Times New Roman"/>
        </w:rPr>
        <w:t xml:space="preserve">. Presence of a hormonal syndrome was determined as previously </w:t>
      </w:r>
      <w:proofErr w:type="gramStart"/>
      <w:r w:rsidRPr="00C258EA">
        <w:rPr>
          <w:rFonts w:ascii="Times New Roman" w:hAnsi="Times New Roman" w:cs="Times New Roman"/>
        </w:rPr>
        <w:t>described</w:t>
      </w:r>
      <w:r w:rsidRPr="00C258EA">
        <w:rPr>
          <w:rFonts w:ascii="Times New Roman" w:hAnsi="Times New Roman" w:cs="Times New Roman"/>
          <w:noProof/>
        </w:rPr>
        <w:t>[</w:t>
      </w:r>
      <w:proofErr w:type="gramEnd"/>
      <w:r w:rsidRPr="00C258EA">
        <w:rPr>
          <w:rFonts w:ascii="Times New Roman" w:hAnsi="Times New Roman" w:cs="Times New Roman"/>
          <w:noProof/>
        </w:rPr>
        <w:t>9]</w:t>
      </w:r>
      <w:r w:rsidRPr="00C258EA">
        <w:rPr>
          <w:rFonts w:ascii="Times New Roman" w:hAnsi="Times New Roman" w:cs="Times New Roman"/>
        </w:rPr>
        <w:t>. Death or last follow-up was last updated on the 19</w:t>
      </w:r>
      <w:r w:rsidRPr="00C258EA">
        <w:rPr>
          <w:rFonts w:ascii="Times New Roman" w:hAnsi="Times New Roman" w:cs="Times New Roman"/>
          <w:vertAlign w:val="superscript"/>
        </w:rPr>
        <w:t>th</w:t>
      </w:r>
      <w:r w:rsidRPr="00C258EA">
        <w:rPr>
          <w:rFonts w:ascii="Times New Roman" w:hAnsi="Times New Roman" w:cs="Times New Roman"/>
        </w:rPr>
        <w:t xml:space="preserve"> of February 2018. Tissue source, method of tissue acquisition (surgery/biopsy) and the indication for the follow-up tissue sample were also assessed. The parameter designated “change in disease behavior” was considered positive when a suspicion of a change in the disease behavior was noted in the medical records. </w:t>
      </w:r>
    </w:p>
    <w:p w14:paraId="5B1338D4" w14:textId="77777777" w:rsidR="0036050E" w:rsidRPr="00C258EA" w:rsidRDefault="0036050E" w:rsidP="0036050E">
      <w:pPr>
        <w:spacing w:line="480" w:lineRule="auto"/>
        <w:ind w:firstLine="720"/>
        <w:jc w:val="both"/>
        <w:rPr>
          <w:rFonts w:ascii="Times New Roman" w:hAnsi="Times New Roman" w:cs="Times New Roman"/>
        </w:rPr>
      </w:pPr>
      <w:proofErr w:type="gramStart"/>
      <w:r w:rsidRPr="00C258EA">
        <w:rPr>
          <w:rFonts w:ascii="Times New Roman" w:hAnsi="Times New Roman" w:cs="Times New Roman"/>
        </w:rPr>
        <w:t xml:space="preserve">Available tumor slides were reviewed independently by two </w:t>
      </w:r>
      <w:proofErr w:type="spellStart"/>
      <w:r w:rsidRPr="00C258EA">
        <w:rPr>
          <w:rFonts w:ascii="Times New Roman" w:hAnsi="Times New Roman" w:cs="Times New Roman"/>
        </w:rPr>
        <w:t>histopathologists</w:t>
      </w:r>
      <w:proofErr w:type="spellEnd"/>
      <w:proofErr w:type="gramEnd"/>
      <w:r w:rsidRPr="00C258EA">
        <w:rPr>
          <w:rFonts w:ascii="Times New Roman" w:hAnsi="Times New Roman" w:cs="Times New Roman"/>
        </w:rPr>
        <w:t xml:space="preserve"> (JB and VL). Confirmation of a </w:t>
      </w:r>
      <w:proofErr w:type="spellStart"/>
      <w:r w:rsidRPr="00C258EA">
        <w:rPr>
          <w:rFonts w:ascii="Times New Roman" w:hAnsi="Times New Roman" w:cs="Times New Roman"/>
        </w:rPr>
        <w:t>PanNET</w:t>
      </w:r>
      <w:proofErr w:type="spellEnd"/>
      <w:r w:rsidRPr="00C258EA">
        <w:rPr>
          <w:rFonts w:ascii="Times New Roman" w:hAnsi="Times New Roman" w:cs="Times New Roman"/>
        </w:rPr>
        <w:t xml:space="preserve"> diagnosis was based on morphological criteria and expression of differentiation markers (</w:t>
      </w:r>
      <w:proofErr w:type="spellStart"/>
      <w:r w:rsidRPr="00C258EA">
        <w:rPr>
          <w:rFonts w:ascii="Times New Roman" w:hAnsi="Times New Roman" w:cs="Times New Roman"/>
        </w:rPr>
        <w:t>synaptophysin</w:t>
      </w:r>
      <w:proofErr w:type="spellEnd"/>
      <w:r w:rsidRPr="00C258EA">
        <w:rPr>
          <w:rFonts w:ascii="Times New Roman" w:hAnsi="Times New Roman" w:cs="Times New Roman"/>
        </w:rPr>
        <w:t xml:space="preserve"> and/or </w:t>
      </w:r>
      <w:proofErr w:type="spellStart"/>
      <w:r w:rsidRPr="00C258EA">
        <w:rPr>
          <w:rFonts w:ascii="Times New Roman" w:hAnsi="Times New Roman" w:cs="Times New Roman"/>
        </w:rPr>
        <w:t>chromogranin</w:t>
      </w:r>
      <w:proofErr w:type="spellEnd"/>
      <w:r w:rsidRPr="00C258EA">
        <w:rPr>
          <w:rFonts w:ascii="Times New Roman" w:hAnsi="Times New Roman" w:cs="Times New Roman"/>
        </w:rPr>
        <w:t xml:space="preserve"> A) by immunohistochemistry according to the current WHO classification of endocrine </w:t>
      </w:r>
      <w:proofErr w:type="gramStart"/>
      <w:r w:rsidRPr="00C258EA">
        <w:rPr>
          <w:rFonts w:ascii="Times New Roman" w:hAnsi="Times New Roman" w:cs="Times New Roman"/>
        </w:rPr>
        <w:t>tumors</w:t>
      </w:r>
      <w:r w:rsidRPr="00C258EA">
        <w:rPr>
          <w:rFonts w:ascii="Times New Roman" w:hAnsi="Times New Roman" w:cs="Times New Roman"/>
          <w:noProof/>
        </w:rPr>
        <w:t>[</w:t>
      </w:r>
      <w:proofErr w:type="gramEnd"/>
      <w:r w:rsidRPr="00C258EA">
        <w:rPr>
          <w:rFonts w:ascii="Times New Roman" w:hAnsi="Times New Roman" w:cs="Times New Roman"/>
          <w:noProof/>
        </w:rPr>
        <w:t>7]</w:t>
      </w:r>
      <w:r w:rsidRPr="00C258EA">
        <w:rPr>
          <w:rFonts w:ascii="Times New Roman" w:hAnsi="Times New Roman" w:cs="Times New Roman"/>
        </w:rPr>
        <w:t xml:space="preserve">. Proliferation index was assessed on slides stained for Ki-67 with calculation according to ENETS/WHO </w:t>
      </w:r>
      <w:proofErr w:type="gramStart"/>
      <w:r w:rsidRPr="00C258EA">
        <w:rPr>
          <w:rFonts w:ascii="Times New Roman" w:hAnsi="Times New Roman" w:cs="Times New Roman"/>
        </w:rPr>
        <w:t>criteria</w:t>
      </w:r>
      <w:r w:rsidRPr="00C258EA">
        <w:rPr>
          <w:rFonts w:ascii="Times New Roman" w:hAnsi="Times New Roman" w:cs="Times New Roman"/>
          <w:noProof/>
        </w:rPr>
        <w:t>[</w:t>
      </w:r>
      <w:proofErr w:type="gramEnd"/>
      <w:r w:rsidRPr="00C258EA">
        <w:rPr>
          <w:rFonts w:ascii="Times New Roman" w:hAnsi="Times New Roman" w:cs="Times New Roman"/>
          <w:noProof/>
        </w:rPr>
        <w:t>7]</w:t>
      </w:r>
      <w:r w:rsidRPr="00C258EA">
        <w:rPr>
          <w:rFonts w:ascii="Times New Roman" w:hAnsi="Times New Roman" w:cs="Times New Roman"/>
        </w:rPr>
        <w:t xml:space="preserve"> by manual microscopic counting, in 40x magnification aided by an ocular grid, of at least 500–2000 tumor cell nuclei. Cases with a discordant index between reviewers were discussed to reach a joint consensus. In addition, morphological features of high-grade progression were noted, i.e. presence of tumor cell necrosis and/or nuclear </w:t>
      </w:r>
      <w:proofErr w:type="spellStart"/>
      <w:r w:rsidRPr="00C258EA">
        <w:rPr>
          <w:rFonts w:ascii="Times New Roman" w:hAnsi="Times New Roman" w:cs="Times New Roman"/>
        </w:rPr>
        <w:t>atypia</w:t>
      </w:r>
      <w:proofErr w:type="spellEnd"/>
      <w:r w:rsidRPr="00C258EA">
        <w:rPr>
          <w:rFonts w:ascii="Times New Roman" w:hAnsi="Times New Roman" w:cs="Times New Roman"/>
        </w:rPr>
        <w:t xml:space="preserve">, defined as nuclear </w:t>
      </w:r>
      <w:proofErr w:type="spellStart"/>
      <w:r w:rsidRPr="00C258EA">
        <w:rPr>
          <w:rFonts w:ascii="Times New Roman" w:hAnsi="Times New Roman" w:cs="Times New Roman"/>
        </w:rPr>
        <w:t>pleomorphism</w:t>
      </w:r>
      <w:proofErr w:type="spellEnd"/>
      <w:r w:rsidRPr="00C258EA">
        <w:rPr>
          <w:rFonts w:ascii="Times New Roman" w:hAnsi="Times New Roman" w:cs="Times New Roman"/>
        </w:rPr>
        <w:t xml:space="preserve"> and conspicuous nucleoli. We could not reliably evaluate mitotic count and growth patterns in this set of samples dominated by small core needle biopsies that often exhibited compression artifacts and degenerative sclerotic changes, presumably due to treatment effects.</w:t>
      </w:r>
    </w:p>
    <w:p w14:paraId="0B780DB6" w14:textId="77777777" w:rsidR="0036050E" w:rsidRPr="00C258EA" w:rsidRDefault="0036050E" w:rsidP="0036050E">
      <w:pPr>
        <w:spacing w:line="480" w:lineRule="auto"/>
        <w:ind w:firstLine="720"/>
        <w:jc w:val="both"/>
        <w:rPr>
          <w:rFonts w:ascii="Times New Roman" w:hAnsi="Times New Roman" w:cs="Times New Roman"/>
        </w:rPr>
      </w:pPr>
      <w:r w:rsidRPr="00C258EA">
        <w:rPr>
          <w:rFonts w:ascii="Times New Roman" w:hAnsi="Times New Roman" w:cs="Times New Roman"/>
        </w:rPr>
        <w:lastRenderedPageBreak/>
        <w:t xml:space="preserve">For cases without available tumor material, data from the original pathology report was used: Ki-67 values were used to grade tumors according to the WHO 2017 </w:t>
      </w:r>
      <w:proofErr w:type="gramStart"/>
      <w:r w:rsidRPr="00C258EA">
        <w:rPr>
          <w:rFonts w:ascii="Times New Roman" w:hAnsi="Times New Roman" w:cs="Times New Roman"/>
        </w:rPr>
        <w:t>classification</w:t>
      </w:r>
      <w:r w:rsidRPr="00C258EA">
        <w:rPr>
          <w:rFonts w:ascii="Times New Roman" w:hAnsi="Times New Roman" w:cs="Times New Roman"/>
          <w:noProof/>
        </w:rPr>
        <w:t>[</w:t>
      </w:r>
      <w:proofErr w:type="gramEnd"/>
      <w:r w:rsidRPr="00C258EA">
        <w:rPr>
          <w:rFonts w:ascii="Times New Roman" w:hAnsi="Times New Roman" w:cs="Times New Roman"/>
          <w:noProof/>
        </w:rPr>
        <w:t>7]</w:t>
      </w:r>
      <w:r w:rsidRPr="00C258EA">
        <w:rPr>
          <w:rFonts w:ascii="Times New Roman" w:hAnsi="Times New Roman" w:cs="Times New Roman"/>
        </w:rPr>
        <w:t xml:space="preserve">. </w:t>
      </w:r>
      <w:proofErr w:type="gramStart"/>
      <w:r w:rsidRPr="00C258EA">
        <w:rPr>
          <w:rFonts w:ascii="Times New Roman" w:hAnsi="Times New Roman" w:cs="Times New Roman"/>
        </w:rPr>
        <w:t>These data on Ki-67 index were generated in the clinical practice by different pathologists using contemporary guidelines</w:t>
      </w:r>
      <w:proofErr w:type="gramEnd"/>
      <w:r w:rsidRPr="00C258EA">
        <w:rPr>
          <w:rFonts w:ascii="Times New Roman" w:hAnsi="Times New Roman" w:cs="Times New Roman"/>
        </w:rPr>
        <w:t>. If the pathology report described the Ki-67 index as a range, the mid–range value was used. If multiple specimens were obtained during the same phase in the clinical treatment evaluation, or primary diagnostic process, the highest Ki-67 index was used.</w:t>
      </w:r>
      <w:r w:rsidRPr="00C258EA">
        <w:rPr>
          <w:rFonts w:ascii="Times New Roman" w:hAnsi="Times New Roman" w:cs="Times New Roman"/>
          <w:b/>
        </w:rPr>
        <w:br w:type="page"/>
      </w:r>
    </w:p>
    <w:p w14:paraId="17B2B9CA" w14:textId="77777777" w:rsidR="0036050E" w:rsidRPr="00C258EA" w:rsidRDefault="0036050E" w:rsidP="0036050E">
      <w:pPr>
        <w:spacing w:line="480" w:lineRule="auto"/>
        <w:rPr>
          <w:rFonts w:ascii="Times New Roman" w:hAnsi="Times New Roman" w:cs="Times New Roman"/>
          <w:u w:val="single"/>
        </w:rPr>
      </w:pPr>
      <w:r w:rsidRPr="00C258EA">
        <w:rPr>
          <w:rFonts w:ascii="Times New Roman" w:hAnsi="Times New Roman" w:cs="Times New Roman"/>
          <w:u w:val="single"/>
        </w:rPr>
        <w:t>Supplementary results:</w:t>
      </w:r>
    </w:p>
    <w:p w14:paraId="3E8E367A" w14:textId="77777777" w:rsidR="0036050E" w:rsidRPr="00C258EA" w:rsidRDefault="0036050E" w:rsidP="0036050E">
      <w:pPr>
        <w:rPr>
          <w:rFonts w:ascii="Times New Roman" w:hAnsi="Times New Roman" w:cs="Times New Roman"/>
        </w:rPr>
      </w:pPr>
      <w:proofErr w:type="spellStart"/>
      <w:proofErr w:type="gramStart"/>
      <w:r w:rsidRPr="00C258EA">
        <w:rPr>
          <w:rFonts w:ascii="Times New Roman" w:hAnsi="Times New Roman" w:cs="Times New Roman"/>
          <w:b/>
        </w:rPr>
        <w:t>sTable</w:t>
      </w:r>
      <w:proofErr w:type="spellEnd"/>
      <w:proofErr w:type="gramEnd"/>
      <w:r w:rsidRPr="00C258EA">
        <w:rPr>
          <w:rFonts w:ascii="Times New Roman" w:hAnsi="Times New Roman" w:cs="Times New Roman"/>
          <w:b/>
        </w:rPr>
        <w:t xml:space="preserve"> 1</w:t>
      </w:r>
      <w:r w:rsidRPr="00C258EA">
        <w:rPr>
          <w:rFonts w:ascii="Times New Roman" w:hAnsi="Times New Roman" w:cs="Times New Roman"/>
        </w:rPr>
        <w:t xml:space="preserve"> Results of pathology re-evaluation</w:t>
      </w:r>
    </w:p>
    <w:tbl>
      <w:tblPr>
        <w:tblStyle w:val="TableGrid"/>
        <w:tblW w:w="0" w:type="auto"/>
        <w:tblLook w:val="04A0" w:firstRow="1" w:lastRow="0" w:firstColumn="1" w:lastColumn="0" w:noHBand="0" w:noVBand="1"/>
      </w:tblPr>
      <w:tblGrid>
        <w:gridCol w:w="4258"/>
        <w:gridCol w:w="4258"/>
      </w:tblGrid>
      <w:tr w:rsidR="0036050E" w:rsidRPr="00C258EA" w14:paraId="3A640837" w14:textId="77777777" w:rsidTr="00643DF0">
        <w:tc>
          <w:tcPr>
            <w:tcW w:w="4258" w:type="dxa"/>
          </w:tcPr>
          <w:p w14:paraId="70CCB3B8"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Number of samples available for pathology re-evaluation</w:t>
            </w:r>
          </w:p>
        </w:tc>
        <w:tc>
          <w:tcPr>
            <w:tcW w:w="4258" w:type="dxa"/>
          </w:tcPr>
          <w:p w14:paraId="78178C08"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56</w:t>
            </w:r>
          </w:p>
        </w:tc>
      </w:tr>
      <w:tr w:rsidR="0036050E" w:rsidRPr="00C258EA" w14:paraId="28DCFE63" w14:textId="77777777" w:rsidTr="00643DF0">
        <w:tc>
          <w:tcPr>
            <w:tcW w:w="4258" w:type="dxa"/>
          </w:tcPr>
          <w:p w14:paraId="2A9C02D1"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Delta Ki-67 index, old to new evaluation (range)</w:t>
            </w:r>
          </w:p>
        </w:tc>
        <w:tc>
          <w:tcPr>
            <w:tcW w:w="4258" w:type="dxa"/>
          </w:tcPr>
          <w:p w14:paraId="3E24E7CA"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0 (-8 – +29)</w:t>
            </w:r>
          </w:p>
        </w:tc>
      </w:tr>
      <w:tr w:rsidR="0036050E" w:rsidRPr="00C258EA" w14:paraId="625C76AD" w14:textId="77777777" w:rsidTr="00643DF0">
        <w:tc>
          <w:tcPr>
            <w:tcW w:w="4258" w:type="dxa"/>
          </w:tcPr>
          <w:p w14:paraId="4117D2D0"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Change in grade WHO 2017</w:t>
            </w:r>
          </w:p>
        </w:tc>
        <w:tc>
          <w:tcPr>
            <w:tcW w:w="4258" w:type="dxa"/>
          </w:tcPr>
          <w:p w14:paraId="49FF4DE7" w14:textId="77777777" w:rsidR="0036050E" w:rsidRPr="00C258EA" w:rsidRDefault="0036050E" w:rsidP="00643DF0">
            <w:pPr>
              <w:rPr>
                <w:rFonts w:ascii="Times New Roman" w:hAnsi="Times New Roman" w:cs="Times New Roman"/>
              </w:rPr>
            </w:pPr>
          </w:p>
        </w:tc>
      </w:tr>
      <w:tr w:rsidR="0036050E" w:rsidRPr="00C258EA" w14:paraId="0685BF69" w14:textId="77777777" w:rsidTr="00643DF0">
        <w:tc>
          <w:tcPr>
            <w:tcW w:w="4258" w:type="dxa"/>
          </w:tcPr>
          <w:p w14:paraId="1041A9EF" w14:textId="77777777" w:rsidR="0036050E" w:rsidRPr="00C258EA" w:rsidRDefault="0036050E" w:rsidP="00643DF0">
            <w:pPr>
              <w:ind w:firstLine="142"/>
              <w:rPr>
                <w:rFonts w:ascii="Times New Roman" w:hAnsi="Times New Roman" w:cs="Times New Roman"/>
              </w:rPr>
            </w:pPr>
            <w:r w:rsidRPr="00C258EA">
              <w:rPr>
                <w:rFonts w:ascii="Times New Roman" w:hAnsi="Times New Roman" w:cs="Times New Roman"/>
              </w:rPr>
              <w:t>Grade 1</w:t>
            </w:r>
            <w:r w:rsidRPr="00C258EA">
              <w:rPr>
                <w:rFonts w:ascii="Times New Roman" w:hAnsi="Times New Roman" w:cs="Times New Roman"/>
              </w:rPr>
              <w:sym w:font="Wingdings" w:char="F0E0"/>
            </w:r>
            <w:r w:rsidRPr="00C258EA">
              <w:rPr>
                <w:rFonts w:ascii="Times New Roman" w:hAnsi="Times New Roman" w:cs="Times New Roman"/>
              </w:rPr>
              <w:t>2</w:t>
            </w:r>
          </w:p>
        </w:tc>
        <w:tc>
          <w:tcPr>
            <w:tcW w:w="4258" w:type="dxa"/>
          </w:tcPr>
          <w:p w14:paraId="4220FC8F"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 (1.8%)</w:t>
            </w:r>
          </w:p>
        </w:tc>
      </w:tr>
      <w:tr w:rsidR="0036050E" w:rsidRPr="00C258EA" w14:paraId="0AA8F766" w14:textId="77777777" w:rsidTr="00643DF0">
        <w:tc>
          <w:tcPr>
            <w:tcW w:w="4258" w:type="dxa"/>
          </w:tcPr>
          <w:p w14:paraId="540CE13B" w14:textId="77777777" w:rsidR="0036050E" w:rsidRPr="00C258EA" w:rsidRDefault="0036050E" w:rsidP="00643DF0">
            <w:pPr>
              <w:ind w:firstLine="142"/>
              <w:rPr>
                <w:rFonts w:ascii="Times New Roman" w:hAnsi="Times New Roman" w:cs="Times New Roman"/>
              </w:rPr>
            </w:pPr>
            <w:r w:rsidRPr="00C258EA">
              <w:rPr>
                <w:rFonts w:ascii="Times New Roman" w:hAnsi="Times New Roman" w:cs="Times New Roman"/>
              </w:rPr>
              <w:t>Grade 2</w:t>
            </w:r>
            <w:r w:rsidRPr="00C258EA">
              <w:rPr>
                <w:rFonts w:ascii="Times New Roman" w:hAnsi="Times New Roman" w:cs="Times New Roman"/>
              </w:rPr>
              <w:sym w:font="Wingdings" w:char="F0E0"/>
            </w:r>
            <w:r w:rsidRPr="00C258EA">
              <w:rPr>
                <w:rFonts w:ascii="Times New Roman" w:hAnsi="Times New Roman" w:cs="Times New Roman"/>
              </w:rPr>
              <w:t>1</w:t>
            </w:r>
          </w:p>
        </w:tc>
        <w:tc>
          <w:tcPr>
            <w:tcW w:w="4258" w:type="dxa"/>
          </w:tcPr>
          <w:p w14:paraId="0D297638"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 (1.8%)</w:t>
            </w:r>
          </w:p>
        </w:tc>
      </w:tr>
      <w:tr w:rsidR="0036050E" w:rsidRPr="00C258EA" w14:paraId="44DEACF6" w14:textId="77777777" w:rsidTr="00643DF0">
        <w:tc>
          <w:tcPr>
            <w:tcW w:w="4258" w:type="dxa"/>
          </w:tcPr>
          <w:p w14:paraId="0F27A840" w14:textId="77777777" w:rsidR="0036050E" w:rsidRPr="00C258EA" w:rsidRDefault="0036050E" w:rsidP="00643DF0">
            <w:pPr>
              <w:ind w:firstLine="142"/>
              <w:rPr>
                <w:rFonts w:ascii="Times New Roman" w:hAnsi="Times New Roman" w:cs="Times New Roman"/>
              </w:rPr>
            </w:pPr>
            <w:r w:rsidRPr="00C258EA">
              <w:rPr>
                <w:rFonts w:ascii="Times New Roman" w:hAnsi="Times New Roman" w:cs="Times New Roman"/>
              </w:rPr>
              <w:t>Grade 2</w:t>
            </w:r>
            <w:r w:rsidRPr="00C258EA">
              <w:rPr>
                <w:rFonts w:ascii="Times New Roman" w:hAnsi="Times New Roman" w:cs="Times New Roman"/>
              </w:rPr>
              <w:sym w:font="Wingdings" w:char="F0E0"/>
            </w:r>
            <w:r w:rsidRPr="00C258EA">
              <w:rPr>
                <w:rFonts w:ascii="Times New Roman" w:hAnsi="Times New Roman" w:cs="Times New Roman"/>
              </w:rPr>
              <w:t>3</w:t>
            </w:r>
          </w:p>
        </w:tc>
        <w:tc>
          <w:tcPr>
            <w:tcW w:w="4258" w:type="dxa"/>
          </w:tcPr>
          <w:p w14:paraId="7F6E4875"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 (1.8%)</w:t>
            </w:r>
          </w:p>
        </w:tc>
      </w:tr>
      <w:tr w:rsidR="0036050E" w:rsidRPr="00C258EA" w14:paraId="1321D6E4" w14:textId="77777777" w:rsidTr="00643DF0">
        <w:tc>
          <w:tcPr>
            <w:tcW w:w="4258" w:type="dxa"/>
          </w:tcPr>
          <w:p w14:paraId="2D9E27F8" w14:textId="77777777" w:rsidR="0036050E" w:rsidRPr="00C258EA" w:rsidRDefault="0036050E" w:rsidP="00643DF0">
            <w:pPr>
              <w:ind w:firstLine="142"/>
              <w:rPr>
                <w:rFonts w:ascii="Times New Roman" w:hAnsi="Times New Roman" w:cs="Times New Roman"/>
              </w:rPr>
            </w:pPr>
            <w:r w:rsidRPr="00C258EA">
              <w:rPr>
                <w:rFonts w:ascii="Times New Roman" w:hAnsi="Times New Roman" w:cs="Times New Roman"/>
              </w:rPr>
              <w:t>Grade 3</w:t>
            </w:r>
            <w:r w:rsidRPr="00C258EA">
              <w:rPr>
                <w:rFonts w:ascii="Times New Roman" w:hAnsi="Times New Roman" w:cs="Times New Roman"/>
              </w:rPr>
              <w:sym w:font="Wingdings" w:char="F0E0"/>
            </w:r>
            <w:r w:rsidRPr="00C258EA">
              <w:rPr>
                <w:rFonts w:ascii="Times New Roman" w:hAnsi="Times New Roman" w:cs="Times New Roman"/>
              </w:rPr>
              <w:t>2</w:t>
            </w:r>
          </w:p>
        </w:tc>
        <w:tc>
          <w:tcPr>
            <w:tcW w:w="4258" w:type="dxa"/>
          </w:tcPr>
          <w:p w14:paraId="27701D54"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 (1.8%)</w:t>
            </w:r>
          </w:p>
        </w:tc>
      </w:tr>
    </w:tbl>
    <w:p w14:paraId="143DA539" w14:textId="77777777" w:rsidR="0036050E" w:rsidRPr="00C258EA" w:rsidRDefault="0036050E" w:rsidP="0036050E">
      <w:pPr>
        <w:spacing w:line="480" w:lineRule="auto"/>
        <w:rPr>
          <w:rFonts w:ascii="Times New Roman" w:hAnsi="Times New Roman" w:cs="Times New Roman"/>
        </w:rPr>
      </w:pPr>
    </w:p>
    <w:p w14:paraId="1BF83E9F" w14:textId="77777777" w:rsidR="0036050E" w:rsidRPr="00C258EA" w:rsidRDefault="0036050E" w:rsidP="0036050E">
      <w:pPr>
        <w:rPr>
          <w:rFonts w:ascii="Times New Roman" w:hAnsi="Times New Roman"/>
        </w:rPr>
      </w:pPr>
      <w:proofErr w:type="spellStart"/>
      <w:proofErr w:type="gramStart"/>
      <w:r w:rsidRPr="00C258EA">
        <w:rPr>
          <w:rFonts w:ascii="Times New Roman" w:hAnsi="Times New Roman"/>
          <w:b/>
        </w:rPr>
        <w:t>sTable</w:t>
      </w:r>
      <w:proofErr w:type="spellEnd"/>
      <w:proofErr w:type="gramEnd"/>
      <w:r w:rsidRPr="00C258EA">
        <w:rPr>
          <w:rFonts w:ascii="Times New Roman" w:hAnsi="Times New Roman"/>
          <w:b/>
        </w:rPr>
        <w:t xml:space="preserve"> 2</w:t>
      </w:r>
      <w:r w:rsidRPr="00C258EA">
        <w:rPr>
          <w:rFonts w:ascii="Times New Roman" w:hAnsi="Times New Roman"/>
        </w:rPr>
        <w:t xml:space="preserve"> Tumor morphology assessment</w:t>
      </w:r>
    </w:p>
    <w:tbl>
      <w:tblPr>
        <w:tblStyle w:val="TableGrid"/>
        <w:tblW w:w="8516" w:type="dxa"/>
        <w:tblLook w:val="04A0" w:firstRow="1" w:lastRow="0" w:firstColumn="1" w:lastColumn="0" w:noHBand="0" w:noVBand="1"/>
      </w:tblPr>
      <w:tblGrid>
        <w:gridCol w:w="4258"/>
        <w:gridCol w:w="4258"/>
      </w:tblGrid>
      <w:tr w:rsidR="0036050E" w:rsidRPr="00C258EA" w14:paraId="0608694B" w14:textId="77777777" w:rsidTr="00643DF0">
        <w:tc>
          <w:tcPr>
            <w:tcW w:w="4258" w:type="dxa"/>
          </w:tcPr>
          <w:p w14:paraId="1D87151B" w14:textId="77777777" w:rsidR="0036050E" w:rsidRPr="00C258EA" w:rsidRDefault="0036050E" w:rsidP="00643DF0">
            <w:pPr>
              <w:rPr>
                <w:rFonts w:ascii="Times New Roman" w:hAnsi="Times New Roman"/>
              </w:rPr>
            </w:pPr>
            <w:bookmarkStart w:id="0" w:name="_Ref406355088"/>
            <w:r w:rsidRPr="00C258EA">
              <w:rPr>
                <w:rFonts w:ascii="Times New Roman" w:hAnsi="Times New Roman"/>
              </w:rPr>
              <w:t xml:space="preserve">Nuclear </w:t>
            </w:r>
            <w:proofErr w:type="spellStart"/>
            <w:r w:rsidRPr="00C258EA">
              <w:rPr>
                <w:rFonts w:ascii="Times New Roman" w:hAnsi="Times New Roman"/>
              </w:rPr>
              <w:t>atypia</w:t>
            </w:r>
            <w:proofErr w:type="spellEnd"/>
            <w:r w:rsidRPr="00C258EA">
              <w:rPr>
                <w:rFonts w:ascii="Times New Roman" w:hAnsi="Times New Roman"/>
              </w:rPr>
              <w:t xml:space="preserve"> at baseline, yes/no/NA</w:t>
            </w:r>
          </w:p>
        </w:tc>
        <w:tc>
          <w:tcPr>
            <w:tcW w:w="4258" w:type="dxa"/>
          </w:tcPr>
          <w:p w14:paraId="62418140" w14:textId="77777777" w:rsidR="0036050E" w:rsidRPr="00C258EA" w:rsidRDefault="0036050E" w:rsidP="00643DF0">
            <w:pPr>
              <w:rPr>
                <w:rFonts w:ascii="Times New Roman" w:hAnsi="Times New Roman"/>
              </w:rPr>
            </w:pPr>
            <w:r w:rsidRPr="00C258EA">
              <w:rPr>
                <w:rFonts w:ascii="Times New Roman" w:hAnsi="Times New Roman"/>
              </w:rPr>
              <w:t>5/15/26</w:t>
            </w:r>
          </w:p>
        </w:tc>
      </w:tr>
      <w:tr w:rsidR="0036050E" w:rsidRPr="00C258EA" w14:paraId="0F8373A8" w14:textId="77777777" w:rsidTr="00643DF0">
        <w:tc>
          <w:tcPr>
            <w:tcW w:w="4258" w:type="dxa"/>
          </w:tcPr>
          <w:p w14:paraId="0BBC0B16" w14:textId="77777777" w:rsidR="0036050E" w:rsidRPr="00C258EA" w:rsidRDefault="0036050E" w:rsidP="00643DF0">
            <w:pPr>
              <w:rPr>
                <w:rFonts w:ascii="Times New Roman" w:hAnsi="Times New Roman"/>
              </w:rPr>
            </w:pPr>
            <w:r w:rsidRPr="00C258EA">
              <w:rPr>
                <w:rFonts w:ascii="Times New Roman" w:hAnsi="Times New Roman"/>
              </w:rPr>
              <w:t>Necrosis at baseline yes/no/NA</w:t>
            </w:r>
          </w:p>
        </w:tc>
        <w:tc>
          <w:tcPr>
            <w:tcW w:w="4258" w:type="dxa"/>
          </w:tcPr>
          <w:p w14:paraId="4801FE3E" w14:textId="77777777" w:rsidR="0036050E" w:rsidRPr="00C258EA" w:rsidRDefault="0036050E" w:rsidP="00643DF0">
            <w:pPr>
              <w:rPr>
                <w:rFonts w:ascii="Times New Roman" w:hAnsi="Times New Roman"/>
              </w:rPr>
            </w:pPr>
            <w:r w:rsidRPr="00C258EA">
              <w:rPr>
                <w:rFonts w:ascii="Times New Roman" w:hAnsi="Times New Roman"/>
              </w:rPr>
              <w:t>2/18/26</w:t>
            </w:r>
          </w:p>
        </w:tc>
      </w:tr>
      <w:tr w:rsidR="0036050E" w:rsidRPr="00C258EA" w14:paraId="6E74D08F" w14:textId="77777777" w:rsidTr="00643DF0">
        <w:tc>
          <w:tcPr>
            <w:tcW w:w="4258" w:type="dxa"/>
          </w:tcPr>
          <w:p w14:paraId="40F8B36C" w14:textId="77777777" w:rsidR="0036050E" w:rsidRPr="00C258EA" w:rsidRDefault="0036050E" w:rsidP="00643DF0">
            <w:pPr>
              <w:rPr>
                <w:rFonts w:ascii="Times New Roman" w:hAnsi="Times New Roman"/>
              </w:rPr>
            </w:pPr>
            <w:r w:rsidRPr="00C258EA">
              <w:rPr>
                <w:rFonts w:ascii="Times New Roman" w:hAnsi="Times New Roman"/>
              </w:rPr>
              <w:t xml:space="preserve">Nuclear </w:t>
            </w:r>
            <w:proofErr w:type="spellStart"/>
            <w:r w:rsidRPr="00C258EA">
              <w:rPr>
                <w:rFonts w:ascii="Times New Roman" w:hAnsi="Times New Roman"/>
              </w:rPr>
              <w:t>atypia</w:t>
            </w:r>
            <w:proofErr w:type="spellEnd"/>
            <w:r w:rsidRPr="00C258EA">
              <w:rPr>
                <w:rFonts w:ascii="Times New Roman" w:hAnsi="Times New Roman"/>
              </w:rPr>
              <w:t xml:space="preserve"> at first available follow-up sample</w:t>
            </w:r>
          </w:p>
        </w:tc>
        <w:tc>
          <w:tcPr>
            <w:tcW w:w="4258" w:type="dxa"/>
          </w:tcPr>
          <w:p w14:paraId="20080356" w14:textId="77777777" w:rsidR="0036050E" w:rsidRPr="00C258EA" w:rsidRDefault="0036050E" w:rsidP="00643DF0">
            <w:pPr>
              <w:rPr>
                <w:rFonts w:ascii="Times New Roman" w:hAnsi="Times New Roman"/>
              </w:rPr>
            </w:pPr>
            <w:r w:rsidRPr="00C258EA">
              <w:rPr>
                <w:rFonts w:ascii="Times New Roman" w:hAnsi="Times New Roman"/>
              </w:rPr>
              <w:t>14/12/20</w:t>
            </w:r>
          </w:p>
        </w:tc>
      </w:tr>
      <w:tr w:rsidR="0036050E" w:rsidRPr="00C258EA" w14:paraId="7274EE59" w14:textId="77777777" w:rsidTr="00643DF0">
        <w:tc>
          <w:tcPr>
            <w:tcW w:w="4258" w:type="dxa"/>
          </w:tcPr>
          <w:p w14:paraId="1271E162" w14:textId="77777777" w:rsidR="0036050E" w:rsidRPr="00C258EA" w:rsidRDefault="0036050E" w:rsidP="00643DF0">
            <w:pPr>
              <w:rPr>
                <w:rFonts w:ascii="Times New Roman" w:hAnsi="Times New Roman"/>
              </w:rPr>
            </w:pPr>
            <w:r w:rsidRPr="00C258EA">
              <w:rPr>
                <w:rFonts w:ascii="Times New Roman" w:hAnsi="Times New Roman"/>
              </w:rPr>
              <w:t xml:space="preserve">Necrosis at first available follow-up </w:t>
            </w:r>
          </w:p>
        </w:tc>
        <w:tc>
          <w:tcPr>
            <w:tcW w:w="4258" w:type="dxa"/>
          </w:tcPr>
          <w:p w14:paraId="35E02194" w14:textId="77777777" w:rsidR="0036050E" w:rsidRPr="00C258EA" w:rsidRDefault="0036050E" w:rsidP="00643DF0">
            <w:pPr>
              <w:rPr>
                <w:rFonts w:ascii="Times New Roman" w:hAnsi="Times New Roman"/>
              </w:rPr>
            </w:pPr>
            <w:r w:rsidRPr="00C258EA">
              <w:rPr>
                <w:rFonts w:ascii="Times New Roman" w:hAnsi="Times New Roman"/>
              </w:rPr>
              <w:t>8/18/20</w:t>
            </w:r>
          </w:p>
        </w:tc>
      </w:tr>
      <w:tr w:rsidR="0036050E" w:rsidRPr="00C258EA" w14:paraId="3A4A3E47" w14:textId="77777777" w:rsidTr="00643DF0">
        <w:tc>
          <w:tcPr>
            <w:tcW w:w="4258" w:type="dxa"/>
          </w:tcPr>
          <w:p w14:paraId="0AE8C665" w14:textId="77777777" w:rsidR="0036050E" w:rsidRPr="00C258EA" w:rsidRDefault="0036050E" w:rsidP="00643DF0">
            <w:pPr>
              <w:rPr>
                <w:rFonts w:ascii="Times New Roman" w:hAnsi="Times New Roman"/>
              </w:rPr>
            </w:pPr>
            <w:r w:rsidRPr="00C258EA">
              <w:rPr>
                <w:rFonts w:ascii="Times New Roman" w:hAnsi="Times New Roman"/>
              </w:rPr>
              <w:t xml:space="preserve">Change of nuclear </w:t>
            </w:r>
            <w:proofErr w:type="spellStart"/>
            <w:r w:rsidRPr="00C258EA">
              <w:rPr>
                <w:rFonts w:ascii="Times New Roman" w:hAnsi="Times New Roman"/>
              </w:rPr>
              <w:t>atypia</w:t>
            </w:r>
            <w:proofErr w:type="spellEnd"/>
            <w:r w:rsidRPr="00C258EA">
              <w:rPr>
                <w:rFonts w:ascii="Times New Roman" w:hAnsi="Times New Roman"/>
              </w:rPr>
              <w:t xml:space="preserve"> baseline</w:t>
            </w:r>
            <w:r w:rsidRPr="00C258EA">
              <w:rPr>
                <w:rFonts w:ascii="Times New Roman" w:hAnsi="Times New Roman"/>
              </w:rPr>
              <w:sym w:font="Wingdings" w:char="F0E0"/>
            </w:r>
            <w:r w:rsidRPr="00C258EA">
              <w:rPr>
                <w:rFonts w:ascii="Times New Roman" w:hAnsi="Times New Roman"/>
              </w:rPr>
              <w:t>follow-up</w:t>
            </w:r>
          </w:p>
        </w:tc>
        <w:tc>
          <w:tcPr>
            <w:tcW w:w="4258" w:type="dxa"/>
          </w:tcPr>
          <w:p w14:paraId="1F0FC020" w14:textId="77777777" w:rsidR="0036050E" w:rsidRPr="00C258EA" w:rsidRDefault="0036050E" w:rsidP="00643DF0">
            <w:pPr>
              <w:rPr>
                <w:rFonts w:ascii="Times New Roman" w:hAnsi="Times New Roman"/>
              </w:rPr>
            </w:pPr>
            <w:r w:rsidRPr="00C258EA">
              <w:rPr>
                <w:rFonts w:ascii="Times New Roman" w:hAnsi="Times New Roman"/>
              </w:rPr>
              <w:t xml:space="preserve">6 new nuclear </w:t>
            </w:r>
            <w:proofErr w:type="spellStart"/>
            <w:r w:rsidRPr="00C258EA">
              <w:rPr>
                <w:rFonts w:ascii="Times New Roman" w:hAnsi="Times New Roman"/>
              </w:rPr>
              <w:t>atypia</w:t>
            </w:r>
            <w:proofErr w:type="spellEnd"/>
            <w:r w:rsidRPr="00C258EA">
              <w:rPr>
                <w:rFonts w:ascii="Times New Roman" w:hAnsi="Times New Roman"/>
              </w:rPr>
              <w:t xml:space="preserve">, 13 unchanged, 1 loss of nuclear </w:t>
            </w:r>
            <w:proofErr w:type="spellStart"/>
            <w:r w:rsidRPr="00C258EA">
              <w:rPr>
                <w:rFonts w:ascii="Times New Roman" w:hAnsi="Times New Roman"/>
              </w:rPr>
              <w:t>atypia</w:t>
            </w:r>
            <w:proofErr w:type="spellEnd"/>
            <w:r w:rsidRPr="00C258EA">
              <w:rPr>
                <w:rFonts w:ascii="Times New Roman" w:hAnsi="Times New Roman"/>
              </w:rPr>
              <w:t xml:space="preserve"> and 26 NA</w:t>
            </w:r>
          </w:p>
        </w:tc>
      </w:tr>
      <w:tr w:rsidR="0036050E" w:rsidRPr="00C258EA" w14:paraId="111354E1" w14:textId="77777777" w:rsidTr="00643DF0">
        <w:tc>
          <w:tcPr>
            <w:tcW w:w="4258" w:type="dxa"/>
          </w:tcPr>
          <w:p w14:paraId="4D43FB8A" w14:textId="77777777" w:rsidR="0036050E" w:rsidRPr="00C258EA" w:rsidRDefault="0036050E" w:rsidP="00643DF0">
            <w:pPr>
              <w:rPr>
                <w:rFonts w:ascii="Times New Roman" w:hAnsi="Times New Roman"/>
              </w:rPr>
            </w:pPr>
            <w:r w:rsidRPr="00C258EA">
              <w:rPr>
                <w:rFonts w:ascii="Times New Roman" w:hAnsi="Times New Roman"/>
              </w:rPr>
              <w:t>Change of necrosis baseline</w:t>
            </w:r>
            <w:r w:rsidRPr="00C258EA">
              <w:rPr>
                <w:rFonts w:ascii="Times New Roman" w:hAnsi="Times New Roman"/>
              </w:rPr>
              <w:sym w:font="Wingdings" w:char="F0E0"/>
            </w:r>
            <w:r w:rsidRPr="00C258EA">
              <w:rPr>
                <w:rFonts w:ascii="Times New Roman" w:hAnsi="Times New Roman"/>
              </w:rPr>
              <w:t>follow-up</w:t>
            </w:r>
          </w:p>
        </w:tc>
        <w:tc>
          <w:tcPr>
            <w:tcW w:w="4258" w:type="dxa"/>
          </w:tcPr>
          <w:p w14:paraId="4415BD7E" w14:textId="77777777" w:rsidR="0036050E" w:rsidRPr="00C258EA" w:rsidRDefault="0036050E" w:rsidP="00643DF0">
            <w:pPr>
              <w:rPr>
                <w:rFonts w:ascii="Times New Roman" w:hAnsi="Times New Roman"/>
              </w:rPr>
            </w:pPr>
            <w:r w:rsidRPr="00C258EA">
              <w:rPr>
                <w:rFonts w:ascii="Times New Roman" w:hAnsi="Times New Roman"/>
              </w:rPr>
              <w:t>3 new necrosis, 16 unchanged, 1 loss of necrosis, 26 NA</w:t>
            </w:r>
          </w:p>
        </w:tc>
      </w:tr>
    </w:tbl>
    <w:bookmarkEnd w:id="0"/>
    <w:p w14:paraId="2DAC07DE" w14:textId="77777777" w:rsidR="0036050E" w:rsidRPr="00C258EA" w:rsidRDefault="0036050E" w:rsidP="0036050E">
      <w:pPr>
        <w:spacing w:line="480" w:lineRule="auto"/>
        <w:rPr>
          <w:rFonts w:ascii="Times New Roman" w:hAnsi="Times New Roman" w:cs="Times New Roman"/>
        </w:rPr>
      </w:pPr>
      <w:r w:rsidRPr="00C258EA">
        <w:rPr>
          <w:rFonts w:ascii="Times New Roman" w:hAnsi="Times New Roman" w:cs="Times New Roman"/>
        </w:rPr>
        <w:t>Abbreviations: NA, Not available.</w:t>
      </w:r>
      <w:r w:rsidRPr="00C258EA">
        <w:rPr>
          <w:rFonts w:ascii="Times New Roman" w:hAnsi="Times New Roman" w:cs="Times New Roman"/>
        </w:rPr>
        <w:br w:type="page"/>
      </w:r>
    </w:p>
    <w:p w14:paraId="3BB6981B" w14:textId="77777777" w:rsidR="0036050E" w:rsidRPr="00C258EA" w:rsidRDefault="0036050E" w:rsidP="0036050E">
      <w:pPr>
        <w:rPr>
          <w:rFonts w:ascii="Times New Roman" w:hAnsi="Times New Roman" w:cs="Times New Roman"/>
        </w:rPr>
      </w:pPr>
      <w:proofErr w:type="spellStart"/>
      <w:proofErr w:type="gramStart"/>
      <w:r w:rsidRPr="00C258EA">
        <w:rPr>
          <w:rFonts w:ascii="Times New Roman" w:hAnsi="Times New Roman" w:cs="Times New Roman"/>
          <w:b/>
        </w:rPr>
        <w:t>sTable</w:t>
      </w:r>
      <w:proofErr w:type="spellEnd"/>
      <w:proofErr w:type="gramEnd"/>
      <w:r w:rsidRPr="00C258EA">
        <w:rPr>
          <w:rFonts w:ascii="Times New Roman" w:hAnsi="Times New Roman" w:cs="Times New Roman"/>
          <w:b/>
        </w:rPr>
        <w:t xml:space="preserve"> 3</w:t>
      </w:r>
      <w:r w:rsidRPr="00C258EA">
        <w:rPr>
          <w:rFonts w:ascii="Times New Roman" w:hAnsi="Times New Roman" w:cs="Times New Roman"/>
        </w:rPr>
        <w:t xml:space="preserve"> Prognostic factors at baseline</w:t>
      </w:r>
    </w:p>
    <w:tbl>
      <w:tblPr>
        <w:tblStyle w:val="TableGrid"/>
        <w:tblW w:w="8322" w:type="dxa"/>
        <w:tblLayout w:type="fixed"/>
        <w:tblCellMar>
          <w:left w:w="0" w:type="dxa"/>
          <w:right w:w="0" w:type="dxa"/>
        </w:tblCellMar>
        <w:tblLook w:val="04A0" w:firstRow="1" w:lastRow="0" w:firstColumn="1" w:lastColumn="0" w:noHBand="0" w:noVBand="1"/>
      </w:tblPr>
      <w:tblGrid>
        <w:gridCol w:w="1565"/>
        <w:gridCol w:w="1134"/>
        <w:gridCol w:w="1289"/>
        <w:gridCol w:w="1121"/>
        <w:gridCol w:w="992"/>
        <w:gridCol w:w="1134"/>
        <w:gridCol w:w="1072"/>
        <w:gridCol w:w="15"/>
      </w:tblGrid>
      <w:tr w:rsidR="0036050E" w:rsidRPr="00C258EA" w14:paraId="0302CB25" w14:textId="77777777" w:rsidTr="00643DF0">
        <w:trPr>
          <w:gridAfter w:val="1"/>
          <w:wAfter w:w="15" w:type="dxa"/>
        </w:trPr>
        <w:tc>
          <w:tcPr>
            <w:tcW w:w="1565" w:type="dxa"/>
          </w:tcPr>
          <w:p w14:paraId="66F61015" w14:textId="77777777" w:rsidR="0036050E" w:rsidRPr="00C258EA" w:rsidRDefault="0036050E" w:rsidP="00643DF0">
            <w:pPr>
              <w:rPr>
                <w:rFonts w:ascii="Times New Roman" w:hAnsi="Times New Roman" w:cs="Times New Roman"/>
                <w:sz w:val="20"/>
                <w:szCs w:val="20"/>
              </w:rPr>
            </w:pPr>
          </w:p>
        </w:tc>
        <w:tc>
          <w:tcPr>
            <w:tcW w:w="3544" w:type="dxa"/>
            <w:gridSpan w:val="3"/>
          </w:tcPr>
          <w:p w14:paraId="08D3F263"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Survival from diagnosis</w:t>
            </w:r>
          </w:p>
        </w:tc>
        <w:tc>
          <w:tcPr>
            <w:tcW w:w="3198" w:type="dxa"/>
            <w:gridSpan w:val="3"/>
          </w:tcPr>
          <w:p w14:paraId="46068400"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Survival from first follow-up sample</w:t>
            </w:r>
          </w:p>
        </w:tc>
      </w:tr>
      <w:tr w:rsidR="0036050E" w:rsidRPr="00C258EA" w14:paraId="2ECC8C32" w14:textId="77777777" w:rsidTr="00643DF0">
        <w:tc>
          <w:tcPr>
            <w:tcW w:w="1565" w:type="dxa"/>
          </w:tcPr>
          <w:p w14:paraId="1D38076F" w14:textId="77777777" w:rsidR="0036050E" w:rsidRPr="00C258EA" w:rsidRDefault="0036050E" w:rsidP="00643DF0">
            <w:pPr>
              <w:rPr>
                <w:rFonts w:ascii="Times New Roman" w:hAnsi="Times New Roman" w:cs="Times New Roman"/>
                <w:sz w:val="20"/>
                <w:szCs w:val="20"/>
              </w:rPr>
            </w:pPr>
          </w:p>
        </w:tc>
        <w:tc>
          <w:tcPr>
            <w:tcW w:w="1134" w:type="dxa"/>
          </w:tcPr>
          <w:p w14:paraId="098201A0"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Median</w:t>
            </w:r>
          </w:p>
        </w:tc>
        <w:tc>
          <w:tcPr>
            <w:tcW w:w="1289" w:type="dxa"/>
          </w:tcPr>
          <w:p w14:paraId="5B850880"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HR (95% CI) Cox Regression</w:t>
            </w:r>
          </w:p>
        </w:tc>
        <w:tc>
          <w:tcPr>
            <w:tcW w:w="1121" w:type="dxa"/>
          </w:tcPr>
          <w:p w14:paraId="19A40B3E" w14:textId="77777777" w:rsidR="0036050E" w:rsidRPr="00C258EA" w:rsidRDefault="0036050E" w:rsidP="00643DF0">
            <w:pPr>
              <w:rPr>
                <w:rFonts w:ascii="Times New Roman" w:hAnsi="Times New Roman" w:cs="Times New Roman"/>
                <w:i/>
                <w:sz w:val="20"/>
                <w:szCs w:val="20"/>
              </w:rPr>
            </w:pPr>
            <w:r w:rsidRPr="00C258EA">
              <w:rPr>
                <w:rFonts w:ascii="Times New Roman" w:hAnsi="Times New Roman" w:cs="Times New Roman"/>
                <w:sz w:val="20"/>
                <w:szCs w:val="20"/>
              </w:rPr>
              <w:t xml:space="preserve">Cox Regression </w:t>
            </w:r>
            <w:r w:rsidRPr="00C258EA">
              <w:rPr>
                <w:rFonts w:ascii="Times New Roman" w:hAnsi="Times New Roman" w:cs="Times New Roman"/>
                <w:i/>
                <w:sz w:val="20"/>
                <w:szCs w:val="20"/>
              </w:rPr>
              <w:t>p</w:t>
            </w:r>
            <w:r w:rsidRPr="00C258EA">
              <w:rPr>
                <w:rFonts w:ascii="Times New Roman" w:hAnsi="Times New Roman" w:cs="Times New Roman"/>
                <w:sz w:val="20"/>
                <w:szCs w:val="20"/>
              </w:rPr>
              <w:t>–value</w:t>
            </w:r>
          </w:p>
        </w:tc>
        <w:tc>
          <w:tcPr>
            <w:tcW w:w="992" w:type="dxa"/>
          </w:tcPr>
          <w:p w14:paraId="454FFCD9"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Median</w:t>
            </w:r>
          </w:p>
        </w:tc>
        <w:tc>
          <w:tcPr>
            <w:tcW w:w="1134" w:type="dxa"/>
          </w:tcPr>
          <w:p w14:paraId="28A3FAEF"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HR (95% CI) Cox Regression</w:t>
            </w:r>
          </w:p>
        </w:tc>
        <w:tc>
          <w:tcPr>
            <w:tcW w:w="1087" w:type="dxa"/>
            <w:gridSpan w:val="2"/>
          </w:tcPr>
          <w:p w14:paraId="35DE5E18" w14:textId="77777777" w:rsidR="0036050E" w:rsidRPr="00C258EA" w:rsidRDefault="0036050E" w:rsidP="00643DF0">
            <w:pPr>
              <w:rPr>
                <w:rFonts w:ascii="Times New Roman" w:hAnsi="Times New Roman" w:cs="Times New Roman"/>
                <w:i/>
                <w:sz w:val="20"/>
                <w:szCs w:val="20"/>
              </w:rPr>
            </w:pPr>
            <w:r w:rsidRPr="00C258EA">
              <w:rPr>
                <w:rFonts w:ascii="Times New Roman" w:hAnsi="Times New Roman" w:cs="Times New Roman"/>
                <w:sz w:val="20"/>
                <w:szCs w:val="20"/>
              </w:rPr>
              <w:t xml:space="preserve">Cox Regression </w:t>
            </w:r>
            <w:r w:rsidRPr="00C258EA">
              <w:rPr>
                <w:rFonts w:ascii="Times New Roman" w:hAnsi="Times New Roman" w:cs="Times New Roman"/>
                <w:i/>
                <w:sz w:val="20"/>
                <w:szCs w:val="20"/>
              </w:rPr>
              <w:t>p</w:t>
            </w:r>
            <w:r w:rsidRPr="00C258EA">
              <w:rPr>
                <w:rFonts w:ascii="Times New Roman" w:hAnsi="Times New Roman" w:cs="Times New Roman"/>
                <w:sz w:val="20"/>
                <w:szCs w:val="20"/>
              </w:rPr>
              <w:t>–value</w:t>
            </w:r>
          </w:p>
        </w:tc>
      </w:tr>
      <w:tr w:rsidR="0036050E" w:rsidRPr="00C258EA" w14:paraId="244641B8" w14:textId="77777777" w:rsidTr="00643DF0">
        <w:tc>
          <w:tcPr>
            <w:tcW w:w="1565" w:type="dxa"/>
          </w:tcPr>
          <w:p w14:paraId="782B2CF5"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All patients</w:t>
            </w:r>
          </w:p>
        </w:tc>
        <w:tc>
          <w:tcPr>
            <w:tcW w:w="1134" w:type="dxa"/>
          </w:tcPr>
          <w:p w14:paraId="2B68A831"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67.6 (52.1–83.5)</w:t>
            </w:r>
          </w:p>
        </w:tc>
        <w:tc>
          <w:tcPr>
            <w:tcW w:w="1289" w:type="dxa"/>
          </w:tcPr>
          <w:p w14:paraId="69093CEF"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NA</w:t>
            </w:r>
          </w:p>
        </w:tc>
        <w:tc>
          <w:tcPr>
            <w:tcW w:w="1121" w:type="dxa"/>
          </w:tcPr>
          <w:p w14:paraId="22739490" w14:textId="77777777" w:rsidR="0036050E" w:rsidRPr="00C258EA" w:rsidRDefault="0036050E" w:rsidP="00643DF0">
            <w:pPr>
              <w:rPr>
                <w:rFonts w:ascii="Times New Roman" w:hAnsi="Times New Roman" w:cs="Times New Roman"/>
                <w:sz w:val="20"/>
                <w:szCs w:val="20"/>
              </w:rPr>
            </w:pPr>
          </w:p>
        </w:tc>
        <w:tc>
          <w:tcPr>
            <w:tcW w:w="992" w:type="dxa"/>
          </w:tcPr>
          <w:p w14:paraId="471715D4"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22.2 (12.2–35.5)</w:t>
            </w:r>
          </w:p>
        </w:tc>
        <w:tc>
          <w:tcPr>
            <w:tcW w:w="1134" w:type="dxa"/>
          </w:tcPr>
          <w:p w14:paraId="5BAD44B9" w14:textId="77777777" w:rsidR="0036050E" w:rsidRPr="00C258EA" w:rsidRDefault="0036050E" w:rsidP="00643DF0">
            <w:pPr>
              <w:rPr>
                <w:rFonts w:ascii="Times New Roman" w:hAnsi="Times New Roman" w:cs="Times New Roman"/>
                <w:sz w:val="20"/>
                <w:szCs w:val="20"/>
              </w:rPr>
            </w:pPr>
          </w:p>
        </w:tc>
        <w:tc>
          <w:tcPr>
            <w:tcW w:w="1087" w:type="dxa"/>
            <w:gridSpan w:val="2"/>
          </w:tcPr>
          <w:p w14:paraId="21325DD4" w14:textId="77777777" w:rsidR="0036050E" w:rsidRPr="00C258EA" w:rsidRDefault="0036050E" w:rsidP="00643DF0">
            <w:pPr>
              <w:rPr>
                <w:rFonts w:ascii="Times New Roman" w:hAnsi="Times New Roman" w:cs="Times New Roman"/>
                <w:sz w:val="20"/>
                <w:szCs w:val="20"/>
              </w:rPr>
            </w:pPr>
          </w:p>
        </w:tc>
      </w:tr>
      <w:tr w:rsidR="0036050E" w:rsidRPr="00C258EA" w14:paraId="5560F60F" w14:textId="77777777" w:rsidTr="00643DF0">
        <w:tc>
          <w:tcPr>
            <w:tcW w:w="1565" w:type="dxa"/>
          </w:tcPr>
          <w:p w14:paraId="3653F00F"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Age  (continuous variable)</w:t>
            </w:r>
          </w:p>
        </w:tc>
        <w:tc>
          <w:tcPr>
            <w:tcW w:w="1134" w:type="dxa"/>
          </w:tcPr>
          <w:p w14:paraId="4D2D3C7A"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NA</w:t>
            </w:r>
          </w:p>
        </w:tc>
        <w:tc>
          <w:tcPr>
            <w:tcW w:w="1289" w:type="dxa"/>
          </w:tcPr>
          <w:p w14:paraId="5B75E3AB"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1.06 (1.02–1.09)</w:t>
            </w:r>
          </w:p>
        </w:tc>
        <w:tc>
          <w:tcPr>
            <w:tcW w:w="1121" w:type="dxa"/>
          </w:tcPr>
          <w:p w14:paraId="54ABFEAC"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0.002</w:t>
            </w:r>
          </w:p>
        </w:tc>
        <w:tc>
          <w:tcPr>
            <w:tcW w:w="992" w:type="dxa"/>
          </w:tcPr>
          <w:p w14:paraId="6555E75F"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NA</w:t>
            </w:r>
          </w:p>
        </w:tc>
        <w:tc>
          <w:tcPr>
            <w:tcW w:w="1134" w:type="dxa"/>
          </w:tcPr>
          <w:p w14:paraId="2B9A0E04"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1.04 (1.01–1.08)</w:t>
            </w:r>
          </w:p>
        </w:tc>
        <w:tc>
          <w:tcPr>
            <w:tcW w:w="1087" w:type="dxa"/>
            <w:gridSpan w:val="2"/>
          </w:tcPr>
          <w:p w14:paraId="50187583"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0.019</w:t>
            </w:r>
          </w:p>
        </w:tc>
      </w:tr>
      <w:tr w:rsidR="0036050E" w:rsidRPr="00C258EA" w14:paraId="5808CC89" w14:textId="77777777" w:rsidTr="00643DF0">
        <w:tc>
          <w:tcPr>
            <w:tcW w:w="8322" w:type="dxa"/>
            <w:gridSpan w:val="8"/>
          </w:tcPr>
          <w:p w14:paraId="03CC84A1"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Gender</w:t>
            </w:r>
          </w:p>
        </w:tc>
      </w:tr>
      <w:tr w:rsidR="0036050E" w:rsidRPr="00C258EA" w14:paraId="704AB081" w14:textId="77777777" w:rsidTr="00643DF0">
        <w:tc>
          <w:tcPr>
            <w:tcW w:w="1565" w:type="dxa"/>
          </w:tcPr>
          <w:p w14:paraId="649B7883" w14:textId="77777777" w:rsidR="0036050E" w:rsidRPr="00C258EA" w:rsidRDefault="0036050E" w:rsidP="00643DF0">
            <w:pPr>
              <w:ind w:firstLine="142"/>
              <w:rPr>
                <w:rFonts w:ascii="Times New Roman" w:hAnsi="Times New Roman" w:cs="Times New Roman"/>
                <w:sz w:val="20"/>
                <w:szCs w:val="20"/>
              </w:rPr>
            </w:pPr>
            <w:r w:rsidRPr="00C258EA">
              <w:rPr>
                <w:rFonts w:ascii="Times New Roman" w:hAnsi="Times New Roman" w:cs="Times New Roman"/>
                <w:sz w:val="20"/>
                <w:szCs w:val="20"/>
              </w:rPr>
              <w:t>Female (</w:t>
            </w:r>
            <w:r w:rsidRPr="00C258EA">
              <w:rPr>
                <w:rFonts w:ascii="Times New Roman" w:hAnsi="Times New Roman" w:cs="Times New Roman"/>
                <w:i/>
                <w:sz w:val="20"/>
                <w:szCs w:val="20"/>
              </w:rPr>
              <w:t>n</w:t>
            </w:r>
            <w:r w:rsidRPr="00C258EA">
              <w:rPr>
                <w:rFonts w:ascii="Times New Roman" w:hAnsi="Times New Roman" w:cs="Times New Roman"/>
                <w:sz w:val="20"/>
                <w:szCs w:val="20"/>
              </w:rPr>
              <w:t>=18)</w:t>
            </w:r>
          </w:p>
        </w:tc>
        <w:tc>
          <w:tcPr>
            <w:tcW w:w="1134" w:type="dxa"/>
          </w:tcPr>
          <w:p w14:paraId="3B6B2423"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67.5 (46.2–115.1)</w:t>
            </w:r>
          </w:p>
        </w:tc>
        <w:tc>
          <w:tcPr>
            <w:tcW w:w="1289" w:type="dxa"/>
          </w:tcPr>
          <w:p w14:paraId="185637CC"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 (Ref)</w:t>
            </w:r>
          </w:p>
        </w:tc>
        <w:tc>
          <w:tcPr>
            <w:tcW w:w="1121" w:type="dxa"/>
          </w:tcPr>
          <w:p w14:paraId="3EA741DC" w14:textId="77777777" w:rsidR="0036050E" w:rsidRPr="00C258EA" w:rsidRDefault="0036050E" w:rsidP="00643DF0">
            <w:pPr>
              <w:rPr>
                <w:rFonts w:ascii="Times New Roman" w:hAnsi="Times New Roman" w:cs="Times New Roman"/>
                <w:sz w:val="20"/>
                <w:szCs w:val="20"/>
              </w:rPr>
            </w:pPr>
          </w:p>
        </w:tc>
        <w:tc>
          <w:tcPr>
            <w:tcW w:w="992" w:type="dxa"/>
          </w:tcPr>
          <w:p w14:paraId="319669F7"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12.6 (8.4–35.5)</w:t>
            </w:r>
          </w:p>
        </w:tc>
        <w:tc>
          <w:tcPr>
            <w:tcW w:w="1134" w:type="dxa"/>
          </w:tcPr>
          <w:p w14:paraId="726C08C9"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 (Ref)</w:t>
            </w:r>
          </w:p>
        </w:tc>
        <w:tc>
          <w:tcPr>
            <w:tcW w:w="1087" w:type="dxa"/>
            <w:gridSpan w:val="2"/>
          </w:tcPr>
          <w:p w14:paraId="359A01FA" w14:textId="77777777" w:rsidR="0036050E" w:rsidRPr="00C258EA" w:rsidRDefault="0036050E" w:rsidP="00643DF0">
            <w:pPr>
              <w:rPr>
                <w:rFonts w:ascii="Times New Roman" w:hAnsi="Times New Roman" w:cs="Times New Roman"/>
                <w:sz w:val="20"/>
                <w:szCs w:val="20"/>
              </w:rPr>
            </w:pPr>
          </w:p>
        </w:tc>
      </w:tr>
      <w:tr w:rsidR="0036050E" w:rsidRPr="00C258EA" w14:paraId="5312936A" w14:textId="77777777" w:rsidTr="00643DF0">
        <w:tc>
          <w:tcPr>
            <w:tcW w:w="1565" w:type="dxa"/>
          </w:tcPr>
          <w:p w14:paraId="7C623926" w14:textId="77777777" w:rsidR="0036050E" w:rsidRPr="00C258EA" w:rsidRDefault="0036050E" w:rsidP="00643DF0">
            <w:pPr>
              <w:ind w:firstLine="142"/>
              <w:rPr>
                <w:rFonts w:ascii="Times New Roman" w:hAnsi="Times New Roman" w:cs="Times New Roman"/>
                <w:sz w:val="20"/>
                <w:szCs w:val="20"/>
              </w:rPr>
            </w:pPr>
            <w:r w:rsidRPr="00C258EA">
              <w:rPr>
                <w:rFonts w:ascii="Times New Roman" w:hAnsi="Times New Roman" w:cs="Times New Roman"/>
                <w:sz w:val="20"/>
                <w:szCs w:val="20"/>
              </w:rPr>
              <w:t>Male (</w:t>
            </w:r>
            <w:r w:rsidRPr="00C258EA">
              <w:rPr>
                <w:rFonts w:ascii="Times New Roman" w:hAnsi="Times New Roman" w:cs="Times New Roman"/>
                <w:i/>
                <w:sz w:val="20"/>
                <w:szCs w:val="20"/>
              </w:rPr>
              <w:t>n</w:t>
            </w:r>
            <w:r w:rsidRPr="00C258EA">
              <w:rPr>
                <w:rFonts w:ascii="Times New Roman" w:hAnsi="Times New Roman" w:cs="Times New Roman"/>
                <w:sz w:val="20"/>
                <w:szCs w:val="20"/>
              </w:rPr>
              <w:t>=28)</w:t>
            </w:r>
          </w:p>
        </w:tc>
        <w:tc>
          <w:tcPr>
            <w:tcW w:w="1134" w:type="dxa"/>
          </w:tcPr>
          <w:p w14:paraId="5F376369"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73.3 (50.1–91.5)</w:t>
            </w:r>
          </w:p>
        </w:tc>
        <w:tc>
          <w:tcPr>
            <w:tcW w:w="1289" w:type="dxa"/>
          </w:tcPr>
          <w:p w14:paraId="6AED8FAE"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0.91 (0.47–1.74)</w:t>
            </w:r>
          </w:p>
        </w:tc>
        <w:tc>
          <w:tcPr>
            <w:tcW w:w="1121" w:type="dxa"/>
          </w:tcPr>
          <w:p w14:paraId="36ADEC90"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0.770</w:t>
            </w:r>
          </w:p>
        </w:tc>
        <w:tc>
          <w:tcPr>
            <w:tcW w:w="992" w:type="dxa"/>
          </w:tcPr>
          <w:p w14:paraId="49592EF2"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25.6 (10.7–38.7)</w:t>
            </w:r>
          </w:p>
        </w:tc>
        <w:tc>
          <w:tcPr>
            <w:tcW w:w="1134" w:type="dxa"/>
          </w:tcPr>
          <w:p w14:paraId="7D6AE38F"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0.74 (0.38–1.42)</w:t>
            </w:r>
          </w:p>
        </w:tc>
        <w:tc>
          <w:tcPr>
            <w:tcW w:w="1087" w:type="dxa"/>
            <w:gridSpan w:val="2"/>
          </w:tcPr>
          <w:p w14:paraId="08A8E980"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0.360</w:t>
            </w:r>
          </w:p>
        </w:tc>
      </w:tr>
      <w:tr w:rsidR="0036050E" w:rsidRPr="00C258EA" w14:paraId="5535C303" w14:textId="77777777" w:rsidTr="00643DF0">
        <w:tc>
          <w:tcPr>
            <w:tcW w:w="8322" w:type="dxa"/>
            <w:gridSpan w:val="8"/>
          </w:tcPr>
          <w:p w14:paraId="0AAE2107"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Hormonal syndrome</w:t>
            </w:r>
          </w:p>
        </w:tc>
      </w:tr>
      <w:tr w:rsidR="0036050E" w:rsidRPr="00C258EA" w14:paraId="27A4802E" w14:textId="77777777" w:rsidTr="00643DF0">
        <w:tc>
          <w:tcPr>
            <w:tcW w:w="1565" w:type="dxa"/>
          </w:tcPr>
          <w:p w14:paraId="0A873025" w14:textId="77777777" w:rsidR="0036050E" w:rsidRPr="00C258EA" w:rsidRDefault="0036050E" w:rsidP="00643DF0">
            <w:pPr>
              <w:ind w:left="142"/>
              <w:rPr>
                <w:rFonts w:ascii="Times New Roman" w:hAnsi="Times New Roman" w:cs="Times New Roman"/>
                <w:sz w:val="20"/>
                <w:szCs w:val="20"/>
              </w:rPr>
            </w:pPr>
            <w:r w:rsidRPr="00C258EA">
              <w:rPr>
                <w:rFonts w:ascii="Times New Roman" w:hAnsi="Times New Roman" w:cs="Times New Roman"/>
                <w:sz w:val="20"/>
                <w:szCs w:val="20"/>
              </w:rPr>
              <w:t>Non–functioning</w:t>
            </w:r>
          </w:p>
        </w:tc>
        <w:tc>
          <w:tcPr>
            <w:tcW w:w="1134" w:type="dxa"/>
          </w:tcPr>
          <w:p w14:paraId="7F4EBE0D"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75.8 (52.1–92.0)</w:t>
            </w:r>
          </w:p>
        </w:tc>
        <w:tc>
          <w:tcPr>
            <w:tcW w:w="1289" w:type="dxa"/>
          </w:tcPr>
          <w:p w14:paraId="0ADDE4EC"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 (Ref)</w:t>
            </w:r>
          </w:p>
        </w:tc>
        <w:tc>
          <w:tcPr>
            <w:tcW w:w="1121" w:type="dxa"/>
          </w:tcPr>
          <w:p w14:paraId="7DA3F04C" w14:textId="77777777" w:rsidR="0036050E" w:rsidRPr="00C258EA" w:rsidRDefault="0036050E" w:rsidP="00643DF0">
            <w:pPr>
              <w:rPr>
                <w:rFonts w:ascii="Times New Roman" w:hAnsi="Times New Roman" w:cs="Times New Roman"/>
                <w:sz w:val="20"/>
                <w:szCs w:val="20"/>
              </w:rPr>
            </w:pPr>
          </w:p>
        </w:tc>
        <w:tc>
          <w:tcPr>
            <w:tcW w:w="992" w:type="dxa"/>
          </w:tcPr>
          <w:p w14:paraId="15468727"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20.9 (12.2–35.5)</w:t>
            </w:r>
          </w:p>
        </w:tc>
        <w:tc>
          <w:tcPr>
            <w:tcW w:w="1134" w:type="dxa"/>
          </w:tcPr>
          <w:p w14:paraId="4DBB9A3D"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 (Ref)</w:t>
            </w:r>
          </w:p>
        </w:tc>
        <w:tc>
          <w:tcPr>
            <w:tcW w:w="1087" w:type="dxa"/>
            <w:gridSpan w:val="2"/>
          </w:tcPr>
          <w:p w14:paraId="31190368" w14:textId="77777777" w:rsidR="0036050E" w:rsidRPr="00C258EA" w:rsidRDefault="0036050E" w:rsidP="00643DF0">
            <w:pPr>
              <w:rPr>
                <w:rFonts w:ascii="Times New Roman" w:hAnsi="Times New Roman" w:cs="Times New Roman"/>
                <w:sz w:val="20"/>
                <w:szCs w:val="20"/>
              </w:rPr>
            </w:pPr>
          </w:p>
        </w:tc>
      </w:tr>
      <w:tr w:rsidR="0036050E" w:rsidRPr="00C258EA" w14:paraId="61369AA6" w14:textId="77777777" w:rsidTr="00643DF0">
        <w:tc>
          <w:tcPr>
            <w:tcW w:w="1565" w:type="dxa"/>
          </w:tcPr>
          <w:p w14:paraId="6CD61E8E" w14:textId="77777777" w:rsidR="0036050E" w:rsidRPr="00C258EA" w:rsidRDefault="0036050E" w:rsidP="00643DF0">
            <w:pPr>
              <w:ind w:firstLine="142"/>
              <w:rPr>
                <w:rFonts w:ascii="Times New Roman" w:hAnsi="Times New Roman" w:cs="Times New Roman"/>
                <w:sz w:val="20"/>
                <w:szCs w:val="20"/>
              </w:rPr>
            </w:pPr>
            <w:r w:rsidRPr="00C258EA">
              <w:rPr>
                <w:rFonts w:ascii="Times New Roman" w:hAnsi="Times New Roman" w:cs="Times New Roman"/>
                <w:sz w:val="20"/>
                <w:szCs w:val="20"/>
              </w:rPr>
              <w:t>Functioning</w:t>
            </w:r>
          </w:p>
        </w:tc>
        <w:tc>
          <w:tcPr>
            <w:tcW w:w="1134" w:type="dxa"/>
          </w:tcPr>
          <w:p w14:paraId="6D5F101D"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71.1 (5.8–73.9)</w:t>
            </w:r>
          </w:p>
        </w:tc>
        <w:tc>
          <w:tcPr>
            <w:tcW w:w="1289" w:type="dxa"/>
          </w:tcPr>
          <w:p w14:paraId="72FA2357"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0.96 (0.46–1.98)</w:t>
            </w:r>
          </w:p>
        </w:tc>
        <w:tc>
          <w:tcPr>
            <w:tcW w:w="1121" w:type="dxa"/>
          </w:tcPr>
          <w:p w14:paraId="012AB5B9"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0.905</w:t>
            </w:r>
          </w:p>
        </w:tc>
        <w:tc>
          <w:tcPr>
            <w:tcW w:w="992" w:type="dxa"/>
          </w:tcPr>
          <w:p w14:paraId="5E8A2A16"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26.8 (8.9–49.8)</w:t>
            </w:r>
          </w:p>
        </w:tc>
        <w:tc>
          <w:tcPr>
            <w:tcW w:w="1134" w:type="dxa"/>
          </w:tcPr>
          <w:p w14:paraId="757D6A74"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0.72 (0.35–1.49)</w:t>
            </w:r>
          </w:p>
        </w:tc>
        <w:tc>
          <w:tcPr>
            <w:tcW w:w="1087" w:type="dxa"/>
            <w:gridSpan w:val="2"/>
          </w:tcPr>
          <w:p w14:paraId="6769CEFC"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0.383</w:t>
            </w:r>
          </w:p>
        </w:tc>
      </w:tr>
      <w:tr w:rsidR="0036050E" w:rsidRPr="00C258EA" w14:paraId="1AC2FB50" w14:textId="77777777" w:rsidTr="00643DF0">
        <w:tc>
          <w:tcPr>
            <w:tcW w:w="8322" w:type="dxa"/>
            <w:gridSpan w:val="8"/>
          </w:tcPr>
          <w:p w14:paraId="06D7AAE0"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 xml:space="preserve">Nuclear </w:t>
            </w:r>
            <w:proofErr w:type="spellStart"/>
            <w:r w:rsidRPr="00C258EA">
              <w:rPr>
                <w:rFonts w:ascii="Times New Roman" w:hAnsi="Times New Roman"/>
                <w:sz w:val="20"/>
                <w:szCs w:val="20"/>
              </w:rPr>
              <w:t>atypia</w:t>
            </w:r>
            <w:proofErr w:type="spellEnd"/>
            <w:r w:rsidRPr="00C258EA">
              <w:rPr>
                <w:rFonts w:ascii="Times New Roman" w:hAnsi="Times New Roman"/>
                <w:sz w:val="20"/>
                <w:szCs w:val="20"/>
              </w:rPr>
              <w:t>, baseline sample</w:t>
            </w:r>
          </w:p>
        </w:tc>
      </w:tr>
      <w:tr w:rsidR="0036050E" w:rsidRPr="00C258EA" w14:paraId="7061C6CF" w14:textId="77777777" w:rsidTr="00643DF0">
        <w:tc>
          <w:tcPr>
            <w:tcW w:w="1565" w:type="dxa"/>
            <w:vAlign w:val="center"/>
          </w:tcPr>
          <w:p w14:paraId="452FFEC9" w14:textId="77777777" w:rsidR="0036050E" w:rsidRPr="00C258EA" w:rsidRDefault="0036050E" w:rsidP="00643DF0">
            <w:pPr>
              <w:ind w:firstLine="142"/>
              <w:rPr>
                <w:rFonts w:ascii="Times New Roman" w:hAnsi="Times New Roman" w:cs="Times New Roman"/>
                <w:sz w:val="20"/>
                <w:szCs w:val="20"/>
              </w:rPr>
            </w:pPr>
            <w:r w:rsidRPr="00C258EA">
              <w:rPr>
                <w:rFonts w:ascii="Times New Roman" w:hAnsi="Times New Roman"/>
                <w:sz w:val="20"/>
                <w:szCs w:val="20"/>
              </w:rPr>
              <w:t>Yes (</w:t>
            </w:r>
            <w:r w:rsidRPr="00C258EA">
              <w:rPr>
                <w:rFonts w:ascii="Times New Roman" w:hAnsi="Times New Roman"/>
                <w:i/>
                <w:sz w:val="20"/>
                <w:szCs w:val="20"/>
              </w:rPr>
              <w:t>n</w:t>
            </w:r>
            <w:r w:rsidRPr="00C258EA">
              <w:rPr>
                <w:rFonts w:ascii="Times New Roman" w:hAnsi="Times New Roman"/>
                <w:sz w:val="20"/>
                <w:szCs w:val="20"/>
              </w:rPr>
              <w:t>=5)</w:t>
            </w:r>
          </w:p>
        </w:tc>
        <w:tc>
          <w:tcPr>
            <w:tcW w:w="1134" w:type="dxa"/>
          </w:tcPr>
          <w:p w14:paraId="5D4E2CE0"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55.3 (34.9–91.0)</w:t>
            </w:r>
          </w:p>
        </w:tc>
        <w:tc>
          <w:tcPr>
            <w:tcW w:w="1289" w:type="dxa"/>
          </w:tcPr>
          <w:p w14:paraId="1B1C6EA2"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1.32 (0.43–4.08)</w:t>
            </w:r>
          </w:p>
        </w:tc>
        <w:tc>
          <w:tcPr>
            <w:tcW w:w="1121" w:type="dxa"/>
          </w:tcPr>
          <w:p w14:paraId="2CCD0DDA"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0.628</w:t>
            </w:r>
          </w:p>
        </w:tc>
        <w:tc>
          <w:tcPr>
            <w:tcW w:w="992" w:type="dxa"/>
          </w:tcPr>
          <w:p w14:paraId="5199253B"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8.4 (2.7–NR)</w:t>
            </w:r>
          </w:p>
        </w:tc>
        <w:tc>
          <w:tcPr>
            <w:tcW w:w="1134" w:type="dxa"/>
          </w:tcPr>
          <w:p w14:paraId="7B363BBF"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1.20 (0.39–3.75)</w:t>
            </w:r>
          </w:p>
        </w:tc>
        <w:tc>
          <w:tcPr>
            <w:tcW w:w="1087" w:type="dxa"/>
            <w:gridSpan w:val="2"/>
          </w:tcPr>
          <w:p w14:paraId="6A9EFD21"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0.750</w:t>
            </w:r>
          </w:p>
        </w:tc>
      </w:tr>
      <w:tr w:rsidR="0036050E" w:rsidRPr="00C258EA" w14:paraId="320430DA" w14:textId="77777777" w:rsidTr="00643DF0">
        <w:tc>
          <w:tcPr>
            <w:tcW w:w="1565" w:type="dxa"/>
            <w:vAlign w:val="center"/>
          </w:tcPr>
          <w:p w14:paraId="7214DBA6" w14:textId="77777777" w:rsidR="0036050E" w:rsidRPr="00C258EA" w:rsidRDefault="0036050E" w:rsidP="00643DF0">
            <w:pPr>
              <w:ind w:firstLine="142"/>
              <w:rPr>
                <w:rFonts w:ascii="Times New Roman" w:hAnsi="Times New Roman" w:cs="Times New Roman"/>
                <w:sz w:val="20"/>
                <w:szCs w:val="20"/>
              </w:rPr>
            </w:pPr>
            <w:r w:rsidRPr="00C258EA">
              <w:rPr>
                <w:rFonts w:ascii="Times New Roman" w:hAnsi="Times New Roman"/>
                <w:sz w:val="20"/>
                <w:szCs w:val="20"/>
              </w:rPr>
              <w:t>No (</w:t>
            </w:r>
            <w:r w:rsidRPr="00C258EA">
              <w:rPr>
                <w:rFonts w:ascii="Times New Roman" w:hAnsi="Times New Roman"/>
                <w:i/>
                <w:sz w:val="20"/>
                <w:szCs w:val="20"/>
              </w:rPr>
              <w:t>n</w:t>
            </w:r>
            <w:r w:rsidRPr="00C258EA">
              <w:rPr>
                <w:rFonts w:ascii="Times New Roman" w:hAnsi="Times New Roman"/>
                <w:sz w:val="20"/>
                <w:szCs w:val="20"/>
              </w:rPr>
              <w:t xml:space="preserve">=15) </w:t>
            </w:r>
          </w:p>
        </w:tc>
        <w:tc>
          <w:tcPr>
            <w:tcW w:w="1134" w:type="dxa"/>
          </w:tcPr>
          <w:p w14:paraId="253B513D"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45.8 (13.8–NR)</w:t>
            </w:r>
          </w:p>
        </w:tc>
        <w:tc>
          <w:tcPr>
            <w:tcW w:w="1289" w:type="dxa"/>
          </w:tcPr>
          <w:p w14:paraId="6FA85438"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1 (Ref)</w:t>
            </w:r>
          </w:p>
        </w:tc>
        <w:tc>
          <w:tcPr>
            <w:tcW w:w="1121" w:type="dxa"/>
          </w:tcPr>
          <w:p w14:paraId="27B3D7FD" w14:textId="77777777" w:rsidR="0036050E" w:rsidRPr="00C258EA" w:rsidRDefault="0036050E" w:rsidP="00643DF0">
            <w:pPr>
              <w:rPr>
                <w:rFonts w:ascii="Times New Roman" w:hAnsi="Times New Roman" w:cs="Times New Roman"/>
                <w:sz w:val="20"/>
                <w:szCs w:val="20"/>
              </w:rPr>
            </w:pPr>
          </w:p>
        </w:tc>
        <w:tc>
          <w:tcPr>
            <w:tcW w:w="992" w:type="dxa"/>
          </w:tcPr>
          <w:p w14:paraId="3971D143"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17.9 (2.6–25.0)</w:t>
            </w:r>
          </w:p>
        </w:tc>
        <w:tc>
          <w:tcPr>
            <w:tcW w:w="1134" w:type="dxa"/>
          </w:tcPr>
          <w:p w14:paraId="5E75D4B3"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Ref</w:t>
            </w:r>
          </w:p>
        </w:tc>
        <w:tc>
          <w:tcPr>
            <w:tcW w:w="1087" w:type="dxa"/>
            <w:gridSpan w:val="2"/>
          </w:tcPr>
          <w:p w14:paraId="696DBD4D" w14:textId="77777777" w:rsidR="0036050E" w:rsidRPr="00C258EA" w:rsidRDefault="0036050E" w:rsidP="00643DF0">
            <w:pPr>
              <w:rPr>
                <w:rFonts w:ascii="Times New Roman" w:hAnsi="Times New Roman" w:cs="Times New Roman"/>
                <w:sz w:val="20"/>
                <w:szCs w:val="20"/>
              </w:rPr>
            </w:pPr>
          </w:p>
        </w:tc>
      </w:tr>
      <w:tr w:rsidR="0036050E" w:rsidRPr="00C258EA" w14:paraId="69F52198" w14:textId="77777777" w:rsidTr="00643DF0">
        <w:tc>
          <w:tcPr>
            <w:tcW w:w="8322" w:type="dxa"/>
            <w:gridSpan w:val="8"/>
            <w:vAlign w:val="center"/>
          </w:tcPr>
          <w:p w14:paraId="65D2FB07"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Necrosis, baseline sample</w:t>
            </w:r>
          </w:p>
        </w:tc>
      </w:tr>
      <w:tr w:rsidR="0036050E" w:rsidRPr="00C258EA" w14:paraId="2EE59046" w14:textId="77777777" w:rsidTr="00643DF0">
        <w:tc>
          <w:tcPr>
            <w:tcW w:w="1565" w:type="dxa"/>
            <w:vAlign w:val="center"/>
          </w:tcPr>
          <w:p w14:paraId="7C16AD31" w14:textId="77777777" w:rsidR="0036050E" w:rsidRPr="00C258EA" w:rsidRDefault="0036050E" w:rsidP="00643DF0">
            <w:pPr>
              <w:ind w:firstLine="142"/>
              <w:rPr>
                <w:rFonts w:ascii="Times New Roman" w:hAnsi="Times New Roman" w:cs="Times New Roman"/>
                <w:sz w:val="20"/>
                <w:szCs w:val="20"/>
              </w:rPr>
            </w:pPr>
            <w:r w:rsidRPr="00C258EA">
              <w:rPr>
                <w:rFonts w:ascii="Times New Roman" w:hAnsi="Times New Roman"/>
                <w:sz w:val="20"/>
                <w:szCs w:val="20"/>
              </w:rPr>
              <w:t>Yes (</w:t>
            </w:r>
            <w:r w:rsidRPr="00C258EA">
              <w:rPr>
                <w:rFonts w:ascii="Times New Roman" w:hAnsi="Times New Roman"/>
                <w:i/>
                <w:sz w:val="20"/>
                <w:szCs w:val="20"/>
              </w:rPr>
              <w:t>n</w:t>
            </w:r>
            <w:r w:rsidRPr="00C258EA">
              <w:rPr>
                <w:rFonts w:ascii="Times New Roman" w:hAnsi="Times New Roman"/>
                <w:sz w:val="20"/>
                <w:szCs w:val="20"/>
              </w:rPr>
              <w:t>=2)</w:t>
            </w:r>
          </w:p>
        </w:tc>
        <w:tc>
          <w:tcPr>
            <w:tcW w:w="1134" w:type="dxa"/>
          </w:tcPr>
          <w:p w14:paraId="0CFF1D00"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13.8 (13.8–NR)</w:t>
            </w:r>
          </w:p>
        </w:tc>
        <w:tc>
          <w:tcPr>
            <w:tcW w:w="1289" w:type="dxa"/>
          </w:tcPr>
          <w:p w14:paraId="32084791"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14.52 (2.01–104.99)</w:t>
            </w:r>
          </w:p>
        </w:tc>
        <w:tc>
          <w:tcPr>
            <w:tcW w:w="1121" w:type="dxa"/>
          </w:tcPr>
          <w:p w14:paraId="02AE52DB"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0.008</w:t>
            </w:r>
          </w:p>
        </w:tc>
        <w:tc>
          <w:tcPr>
            <w:tcW w:w="992" w:type="dxa"/>
          </w:tcPr>
          <w:p w14:paraId="74AD527A"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5.7 (5.7–NR)</w:t>
            </w:r>
          </w:p>
        </w:tc>
        <w:tc>
          <w:tcPr>
            <w:tcW w:w="1134" w:type="dxa"/>
          </w:tcPr>
          <w:p w14:paraId="384217FF"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3.65 (0.70–19.02)</w:t>
            </w:r>
          </w:p>
        </w:tc>
        <w:tc>
          <w:tcPr>
            <w:tcW w:w="1087" w:type="dxa"/>
            <w:gridSpan w:val="2"/>
          </w:tcPr>
          <w:p w14:paraId="5A9F5DFD"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0.124</w:t>
            </w:r>
          </w:p>
        </w:tc>
      </w:tr>
      <w:tr w:rsidR="0036050E" w:rsidRPr="00C258EA" w14:paraId="313EE390" w14:textId="77777777" w:rsidTr="00643DF0">
        <w:tc>
          <w:tcPr>
            <w:tcW w:w="1565" w:type="dxa"/>
            <w:vAlign w:val="center"/>
          </w:tcPr>
          <w:p w14:paraId="37DC8D58" w14:textId="77777777" w:rsidR="0036050E" w:rsidRPr="00C258EA" w:rsidRDefault="0036050E" w:rsidP="00643DF0">
            <w:pPr>
              <w:ind w:firstLine="142"/>
              <w:rPr>
                <w:rFonts w:ascii="Times New Roman" w:hAnsi="Times New Roman" w:cs="Times New Roman"/>
                <w:sz w:val="20"/>
                <w:szCs w:val="20"/>
              </w:rPr>
            </w:pPr>
            <w:r w:rsidRPr="00C258EA">
              <w:rPr>
                <w:rFonts w:ascii="Times New Roman" w:hAnsi="Times New Roman"/>
                <w:sz w:val="20"/>
                <w:szCs w:val="20"/>
              </w:rPr>
              <w:t>No (</w:t>
            </w:r>
            <w:r w:rsidRPr="00C258EA">
              <w:rPr>
                <w:rFonts w:ascii="Times New Roman" w:hAnsi="Times New Roman"/>
                <w:i/>
                <w:sz w:val="20"/>
                <w:szCs w:val="20"/>
              </w:rPr>
              <w:t>n</w:t>
            </w:r>
            <w:r w:rsidRPr="00C258EA">
              <w:rPr>
                <w:rFonts w:ascii="Times New Roman" w:hAnsi="Times New Roman"/>
                <w:sz w:val="20"/>
                <w:szCs w:val="20"/>
              </w:rPr>
              <w:t xml:space="preserve">=18) </w:t>
            </w:r>
          </w:p>
        </w:tc>
        <w:tc>
          <w:tcPr>
            <w:tcW w:w="1134" w:type="dxa"/>
          </w:tcPr>
          <w:p w14:paraId="2327407D"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52.1 (45.8–92.0)</w:t>
            </w:r>
          </w:p>
        </w:tc>
        <w:tc>
          <w:tcPr>
            <w:tcW w:w="1289" w:type="dxa"/>
          </w:tcPr>
          <w:p w14:paraId="33E1B4E2"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sz w:val="20"/>
                <w:szCs w:val="20"/>
              </w:rPr>
              <w:t>1 (Ref)</w:t>
            </w:r>
          </w:p>
        </w:tc>
        <w:tc>
          <w:tcPr>
            <w:tcW w:w="1121" w:type="dxa"/>
          </w:tcPr>
          <w:p w14:paraId="74E501CA" w14:textId="77777777" w:rsidR="0036050E" w:rsidRPr="00C258EA" w:rsidRDefault="0036050E" w:rsidP="00643DF0">
            <w:pPr>
              <w:rPr>
                <w:rFonts w:ascii="Times New Roman" w:hAnsi="Times New Roman" w:cs="Times New Roman"/>
                <w:sz w:val="20"/>
                <w:szCs w:val="20"/>
              </w:rPr>
            </w:pPr>
          </w:p>
        </w:tc>
        <w:tc>
          <w:tcPr>
            <w:tcW w:w="992" w:type="dxa"/>
          </w:tcPr>
          <w:p w14:paraId="10828B5C"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12.9(5.9–25.0)</w:t>
            </w:r>
          </w:p>
        </w:tc>
        <w:tc>
          <w:tcPr>
            <w:tcW w:w="1134" w:type="dxa"/>
          </w:tcPr>
          <w:p w14:paraId="7B290E54"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Ref</w:t>
            </w:r>
          </w:p>
        </w:tc>
        <w:tc>
          <w:tcPr>
            <w:tcW w:w="1087" w:type="dxa"/>
            <w:gridSpan w:val="2"/>
          </w:tcPr>
          <w:p w14:paraId="71179869" w14:textId="77777777" w:rsidR="0036050E" w:rsidRPr="00C258EA" w:rsidRDefault="0036050E" w:rsidP="00643DF0">
            <w:pPr>
              <w:rPr>
                <w:rFonts w:ascii="Times New Roman" w:hAnsi="Times New Roman" w:cs="Times New Roman"/>
                <w:sz w:val="20"/>
                <w:szCs w:val="20"/>
              </w:rPr>
            </w:pPr>
          </w:p>
        </w:tc>
      </w:tr>
      <w:tr w:rsidR="0036050E" w:rsidRPr="00C258EA" w14:paraId="0875541E" w14:textId="77777777" w:rsidTr="00643DF0">
        <w:tc>
          <w:tcPr>
            <w:tcW w:w="8322" w:type="dxa"/>
            <w:gridSpan w:val="8"/>
          </w:tcPr>
          <w:p w14:paraId="54ACE90C"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Disease stage, UICC 8</w:t>
            </w:r>
            <w:r w:rsidRPr="00C258EA">
              <w:rPr>
                <w:rFonts w:ascii="Times New Roman" w:hAnsi="Times New Roman" w:cs="Times New Roman"/>
                <w:sz w:val="20"/>
                <w:szCs w:val="20"/>
                <w:vertAlign w:val="superscript"/>
              </w:rPr>
              <w:t>th</w:t>
            </w:r>
            <w:r w:rsidRPr="00C258EA">
              <w:rPr>
                <w:rFonts w:ascii="Times New Roman" w:hAnsi="Times New Roman" w:cs="Times New Roman"/>
                <w:sz w:val="20"/>
                <w:szCs w:val="20"/>
              </w:rPr>
              <w:t xml:space="preserve"> edition</w:t>
            </w:r>
          </w:p>
        </w:tc>
      </w:tr>
      <w:tr w:rsidR="0036050E" w:rsidRPr="00C258EA" w14:paraId="62CCC0CF" w14:textId="77777777" w:rsidTr="00643DF0">
        <w:tc>
          <w:tcPr>
            <w:tcW w:w="1565" w:type="dxa"/>
          </w:tcPr>
          <w:p w14:paraId="1828C5D0" w14:textId="77777777" w:rsidR="0036050E" w:rsidRPr="00C258EA" w:rsidRDefault="0036050E" w:rsidP="00643DF0">
            <w:pPr>
              <w:ind w:firstLine="147"/>
              <w:rPr>
                <w:rFonts w:ascii="Times New Roman" w:hAnsi="Times New Roman" w:cs="Times New Roman"/>
                <w:sz w:val="20"/>
                <w:szCs w:val="20"/>
              </w:rPr>
            </w:pPr>
            <w:r w:rsidRPr="00C258EA">
              <w:rPr>
                <w:rFonts w:ascii="Times New Roman" w:hAnsi="Times New Roman" w:cs="Times New Roman"/>
                <w:sz w:val="20"/>
                <w:szCs w:val="20"/>
              </w:rPr>
              <w:t>I–III (</w:t>
            </w:r>
            <w:r w:rsidRPr="00C258EA">
              <w:rPr>
                <w:rFonts w:ascii="Times New Roman" w:hAnsi="Times New Roman" w:cs="Times New Roman"/>
                <w:i/>
                <w:sz w:val="20"/>
                <w:szCs w:val="20"/>
              </w:rPr>
              <w:t>n</w:t>
            </w:r>
            <w:r w:rsidRPr="00C258EA">
              <w:rPr>
                <w:rFonts w:ascii="Times New Roman" w:hAnsi="Times New Roman" w:cs="Times New Roman"/>
                <w:sz w:val="20"/>
                <w:szCs w:val="20"/>
              </w:rPr>
              <w:t>=5)</w:t>
            </w:r>
          </w:p>
        </w:tc>
        <w:tc>
          <w:tcPr>
            <w:tcW w:w="1134" w:type="dxa"/>
          </w:tcPr>
          <w:p w14:paraId="6F3977E7"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255.6 (52.1–NR)</w:t>
            </w:r>
          </w:p>
        </w:tc>
        <w:tc>
          <w:tcPr>
            <w:tcW w:w="1289" w:type="dxa"/>
          </w:tcPr>
          <w:p w14:paraId="0AB9D3BB"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 (Ref)</w:t>
            </w:r>
          </w:p>
        </w:tc>
        <w:tc>
          <w:tcPr>
            <w:tcW w:w="1121" w:type="dxa"/>
          </w:tcPr>
          <w:p w14:paraId="15FC5553" w14:textId="77777777" w:rsidR="0036050E" w:rsidRPr="00C258EA" w:rsidRDefault="0036050E" w:rsidP="00643DF0">
            <w:pPr>
              <w:rPr>
                <w:rFonts w:ascii="Times New Roman" w:hAnsi="Times New Roman" w:cs="Times New Roman"/>
                <w:sz w:val="20"/>
                <w:szCs w:val="20"/>
              </w:rPr>
            </w:pPr>
          </w:p>
        </w:tc>
        <w:tc>
          <w:tcPr>
            <w:tcW w:w="992" w:type="dxa"/>
          </w:tcPr>
          <w:p w14:paraId="0C6200F6"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158.9 (5.9–NR)</w:t>
            </w:r>
          </w:p>
        </w:tc>
        <w:tc>
          <w:tcPr>
            <w:tcW w:w="1134" w:type="dxa"/>
          </w:tcPr>
          <w:p w14:paraId="26CB8C80"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 (Ref)</w:t>
            </w:r>
          </w:p>
        </w:tc>
        <w:tc>
          <w:tcPr>
            <w:tcW w:w="1087" w:type="dxa"/>
            <w:gridSpan w:val="2"/>
          </w:tcPr>
          <w:p w14:paraId="69D9C7A4" w14:textId="77777777" w:rsidR="0036050E" w:rsidRPr="00C258EA" w:rsidRDefault="0036050E" w:rsidP="00643DF0">
            <w:pPr>
              <w:rPr>
                <w:rFonts w:ascii="Times New Roman" w:hAnsi="Times New Roman" w:cs="Times New Roman"/>
                <w:sz w:val="20"/>
                <w:szCs w:val="20"/>
              </w:rPr>
            </w:pPr>
          </w:p>
        </w:tc>
      </w:tr>
      <w:tr w:rsidR="0036050E" w:rsidRPr="00C258EA" w14:paraId="073C9114" w14:textId="77777777" w:rsidTr="00643DF0">
        <w:tc>
          <w:tcPr>
            <w:tcW w:w="1565" w:type="dxa"/>
          </w:tcPr>
          <w:p w14:paraId="640DA40E" w14:textId="77777777" w:rsidR="0036050E" w:rsidRPr="00C258EA" w:rsidRDefault="0036050E" w:rsidP="00643DF0">
            <w:pPr>
              <w:ind w:firstLine="147"/>
              <w:rPr>
                <w:rFonts w:ascii="Times New Roman" w:hAnsi="Times New Roman" w:cs="Times New Roman"/>
                <w:sz w:val="20"/>
                <w:szCs w:val="20"/>
              </w:rPr>
            </w:pPr>
            <w:r w:rsidRPr="00C258EA">
              <w:rPr>
                <w:rFonts w:ascii="Times New Roman" w:hAnsi="Times New Roman" w:cs="Times New Roman"/>
                <w:sz w:val="20"/>
                <w:szCs w:val="20"/>
              </w:rPr>
              <w:t>IV (</w:t>
            </w:r>
            <w:r w:rsidRPr="00C258EA">
              <w:rPr>
                <w:rFonts w:ascii="Times New Roman" w:hAnsi="Times New Roman" w:cs="Times New Roman"/>
                <w:i/>
                <w:sz w:val="20"/>
                <w:szCs w:val="20"/>
              </w:rPr>
              <w:t>n</w:t>
            </w:r>
            <w:r w:rsidRPr="00C258EA">
              <w:rPr>
                <w:rFonts w:ascii="Times New Roman" w:hAnsi="Times New Roman" w:cs="Times New Roman"/>
                <w:sz w:val="20"/>
                <w:szCs w:val="20"/>
              </w:rPr>
              <w:t>=38)</w:t>
            </w:r>
          </w:p>
        </w:tc>
        <w:tc>
          <w:tcPr>
            <w:tcW w:w="1134" w:type="dxa"/>
          </w:tcPr>
          <w:p w14:paraId="7A5BABA3"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71.1 (50.1–80.8)</w:t>
            </w:r>
          </w:p>
        </w:tc>
        <w:tc>
          <w:tcPr>
            <w:tcW w:w="1289" w:type="dxa"/>
          </w:tcPr>
          <w:p w14:paraId="29D48467"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3.16 (0.94–10.69)</w:t>
            </w:r>
          </w:p>
        </w:tc>
        <w:tc>
          <w:tcPr>
            <w:tcW w:w="1121" w:type="dxa"/>
          </w:tcPr>
          <w:p w14:paraId="58E82461"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0.064</w:t>
            </w:r>
          </w:p>
        </w:tc>
        <w:tc>
          <w:tcPr>
            <w:tcW w:w="992" w:type="dxa"/>
          </w:tcPr>
          <w:p w14:paraId="5CC88995"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17.9 (10.7–25.0)</w:t>
            </w:r>
          </w:p>
        </w:tc>
        <w:tc>
          <w:tcPr>
            <w:tcW w:w="1134" w:type="dxa"/>
          </w:tcPr>
          <w:p w14:paraId="14530BFF"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4.55 (1.08–19.22)</w:t>
            </w:r>
          </w:p>
        </w:tc>
        <w:tc>
          <w:tcPr>
            <w:tcW w:w="1087" w:type="dxa"/>
            <w:gridSpan w:val="2"/>
          </w:tcPr>
          <w:p w14:paraId="50FFFA92" w14:textId="77777777" w:rsidR="0036050E" w:rsidRPr="00C258EA" w:rsidRDefault="0036050E" w:rsidP="00643DF0">
            <w:pPr>
              <w:rPr>
                <w:rFonts w:ascii="Times New Roman" w:hAnsi="Times New Roman" w:cs="Times New Roman"/>
                <w:sz w:val="20"/>
                <w:szCs w:val="20"/>
              </w:rPr>
            </w:pPr>
            <w:r w:rsidRPr="00C258EA">
              <w:rPr>
                <w:rFonts w:ascii="Times New Roman" w:hAnsi="Times New Roman" w:cs="Times New Roman"/>
                <w:sz w:val="20"/>
                <w:szCs w:val="20"/>
              </w:rPr>
              <w:t>0.039</w:t>
            </w:r>
          </w:p>
        </w:tc>
      </w:tr>
    </w:tbl>
    <w:p w14:paraId="39965E2B" w14:textId="77777777" w:rsidR="0036050E" w:rsidRPr="00C258EA" w:rsidRDefault="0036050E" w:rsidP="0036050E">
      <w:pPr>
        <w:spacing w:line="480" w:lineRule="auto"/>
        <w:rPr>
          <w:rFonts w:ascii="Times New Roman" w:hAnsi="Times New Roman" w:cs="Times New Roman"/>
        </w:rPr>
      </w:pPr>
      <w:proofErr w:type="gramStart"/>
      <w:r w:rsidRPr="00C258EA">
        <w:rPr>
          <w:rFonts w:ascii="Times New Roman" w:hAnsi="Times New Roman" w:cs="Times New Roman"/>
        </w:rPr>
        <w:t>Prognostic factors of survival (risk of poor OS) from diagnosis and first follow-up sample.</w:t>
      </w:r>
      <w:proofErr w:type="gramEnd"/>
      <w:r w:rsidRPr="00C258EA">
        <w:rPr>
          <w:rFonts w:ascii="Times New Roman" w:hAnsi="Times New Roman" w:cs="Times New Roman"/>
        </w:rPr>
        <w:t xml:space="preserve"> NA, Not available; NR, Not reached; Ref, Reference.</w:t>
      </w:r>
      <w:r w:rsidRPr="00C258EA">
        <w:rPr>
          <w:rFonts w:ascii="Times New Roman" w:hAnsi="Times New Roman" w:cs="Times New Roman"/>
        </w:rPr>
        <w:br w:type="page"/>
      </w:r>
    </w:p>
    <w:p w14:paraId="58A77069" w14:textId="77777777" w:rsidR="0036050E" w:rsidRPr="00C258EA" w:rsidRDefault="0036050E" w:rsidP="0036050E">
      <w:pPr>
        <w:rPr>
          <w:rFonts w:ascii="Times New Roman" w:hAnsi="Times New Roman"/>
        </w:rPr>
      </w:pPr>
      <w:proofErr w:type="spellStart"/>
      <w:proofErr w:type="gramStart"/>
      <w:r w:rsidRPr="00C258EA">
        <w:rPr>
          <w:rFonts w:ascii="Times New Roman" w:hAnsi="Times New Roman"/>
          <w:b/>
        </w:rPr>
        <w:t>sTable</w:t>
      </w:r>
      <w:proofErr w:type="spellEnd"/>
      <w:proofErr w:type="gramEnd"/>
      <w:r w:rsidRPr="00C258EA">
        <w:rPr>
          <w:rFonts w:ascii="Times New Roman" w:hAnsi="Times New Roman"/>
          <w:b/>
        </w:rPr>
        <w:t xml:space="preserve"> 4</w:t>
      </w:r>
      <w:r w:rsidRPr="00C258EA">
        <w:rPr>
          <w:rFonts w:ascii="Times New Roman" w:hAnsi="Times New Roman"/>
        </w:rPr>
        <w:t xml:space="preserve"> Multivariate analysis of overall survival</w:t>
      </w:r>
    </w:p>
    <w:tbl>
      <w:tblPr>
        <w:tblStyle w:val="TableGrid"/>
        <w:tblW w:w="8402" w:type="dxa"/>
        <w:tblLook w:val="04A0" w:firstRow="1" w:lastRow="0" w:firstColumn="1" w:lastColumn="0" w:noHBand="0" w:noVBand="1"/>
      </w:tblPr>
      <w:tblGrid>
        <w:gridCol w:w="2093"/>
        <w:gridCol w:w="1966"/>
        <w:gridCol w:w="1332"/>
        <w:gridCol w:w="1928"/>
        <w:gridCol w:w="1083"/>
      </w:tblGrid>
      <w:tr w:rsidR="0036050E" w:rsidRPr="00C258EA" w14:paraId="7CA2A304" w14:textId="77777777" w:rsidTr="00643DF0">
        <w:tc>
          <w:tcPr>
            <w:tcW w:w="2093" w:type="dxa"/>
          </w:tcPr>
          <w:p w14:paraId="2A904F5A" w14:textId="77777777" w:rsidR="0036050E" w:rsidRPr="00C258EA" w:rsidRDefault="0036050E" w:rsidP="00643DF0">
            <w:pPr>
              <w:rPr>
                <w:rFonts w:ascii="Times New Roman" w:hAnsi="Times New Roman"/>
              </w:rPr>
            </w:pPr>
          </w:p>
        </w:tc>
        <w:tc>
          <w:tcPr>
            <w:tcW w:w="3298" w:type="dxa"/>
            <w:gridSpan w:val="2"/>
            <w:vAlign w:val="center"/>
          </w:tcPr>
          <w:p w14:paraId="7D40F60D" w14:textId="77777777" w:rsidR="0036050E" w:rsidRPr="00C258EA" w:rsidRDefault="0036050E" w:rsidP="00643DF0">
            <w:pPr>
              <w:jc w:val="center"/>
              <w:rPr>
                <w:rFonts w:ascii="Times New Roman" w:hAnsi="Times New Roman"/>
              </w:rPr>
            </w:pPr>
            <w:r w:rsidRPr="00C258EA">
              <w:rPr>
                <w:rFonts w:ascii="Times New Roman" w:hAnsi="Times New Roman"/>
              </w:rPr>
              <w:t>Model 1 (n=44)</w:t>
            </w:r>
          </w:p>
        </w:tc>
        <w:tc>
          <w:tcPr>
            <w:tcW w:w="3011" w:type="dxa"/>
            <w:gridSpan w:val="2"/>
            <w:vAlign w:val="center"/>
          </w:tcPr>
          <w:p w14:paraId="402C4011" w14:textId="77777777" w:rsidR="0036050E" w:rsidRPr="00C258EA" w:rsidRDefault="0036050E" w:rsidP="00643DF0">
            <w:pPr>
              <w:keepNext/>
              <w:keepLines/>
              <w:spacing w:before="200"/>
              <w:jc w:val="center"/>
              <w:outlineLvl w:val="8"/>
              <w:rPr>
                <w:rFonts w:ascii="Times New Roman" w:hAnsi="Times New Roman"/>
              </w:rPr>
            </w:pPr>
            <w:r w:rsidRPr="00C258EA">
              <w:rPr>
                <w:rFonts w:ascii="Times New Roman" w:hAnsi="Times New Roman"/>
              </w:rPr>
              <w:t>Model 2 (n=26)</w:t>
            </w:r>
          </w:p>
        </w:tc>
      </w:tr>
      <w:tr w:rsidR="0036050E" w:rsidRPr="00C258EA" w14:paraId="1D3CFAFB" w14:textId="77777777" w:rsidTr="00643DF0">
        <w:tc>
          <w:tcPr>
            <w:tcW w:w="2093" w:type="dxa"/>
          </w:tcPr>
          <w:p w14:paraId="0654BE4D" w14:textId="77777777" w:rsidR="0036050E" w:rsidRPr="00C258EA" w:rsidRDefault="0036050E" w:rsidP="00643DF0">
            <w:pPr>
              <w:rPr>
                <w:rFonts w:ascii="Times New Roman" w:hAnsi="Times New Roman"/>
              </w:rPr>
            </w:pPr>
            <w:r w:rsidRPr="00C258EA">
              <w:rPr>
                <w:rFonts w:ascii="Times New Roman" w:hAnsi="Times New Roman"/>
              </w:rPr>
              <w:t>Variable</w:t>
            </w:r>
          </w:p>
        </w:tc>
        <w:tc>
          <w:tcPr>
            <w:tcW w:w="1966" w:type="dxa"/>
            <w:vAlign w:val="center"/>
          </w:tcPr>
          <w:p w14:paraId="7C154E89" w14:textId="77777777" w:rsidR="0036050E" w:rsidRPr="00C258EA" w:rsidRDefault="0036050E" w:rsidP="00643DF0">
            <w:pPr>
              <w:rPr>
                <w:rFonts w:ascii="Times New Roman" w:hAnsi="Times New Roman"/>
              </w:rPr>
            </w:pPr>
            <w:r w:rsidRPr="00C258EA">
              <w:rPr>
                <w:rFonts w:ascii="Times New Roman" w:hAnsi="Times New Roman"/>
              </w:rPr>
              <w:t>Hazard ratio (95% CI)</w:t>
            </w:r>
          </w:p>
        </w:tc>
        <w:tc>
          <w:tcPr>
            <w:tcW w:w="1332" w:type="dxa"/>
            <w:vAlign w:val="center"/>
          </w:tcPr>
          <w:p w14:paraId="5872D14F" w14:textId="77777777" w:rsidR="0036050E" w:rsidRPr="00C258EA" w:rsidRDefault="0036050E" w:rsidP="00643DF0">
            <w:pPr>
              <w:rPr>
                <w:rFonts w:ascii="Times New Roman" w:hAnsi="Times New Roman"/>
              </w:rPr>
            </w:pPr>
            <w:proofErr w:type="gramStart"/>
            <w:r w:rsidRPr="00C258EA">
              <w:rPr>
                <w:rFonts w:ascii="Times New Roman" w:hAnsi="Times New Roman"/>
                <w:i/>
              </w:rPr>
              <w:t>p</w:t>
            </w:r>
            <w:proofErr w:type="gramEnd"/>
            <w:r w:rsidRPr="00C258EA">
              <w:rPr>
                <w:rFonts w:ascii="Times New Roman" w:hAnsi="Times New Roman"/>
              </w:rPr>
              <w:t>–value</w:t>
            </w:r>
          </w:p>
        </w:tc>
        <w:tc>
          <w:tcPr>
            <w:tcW w:w="1928" w:type="dxa"/>
            <w:vAlign w:val="center"/>
          </w:tcPr>
          <w:p w14:paraId="47D4A122" w14:textId="77777777" w:rsidR="0036050E" w:rsidRPr="00C258EA" w:rsidRDefault="0036050E" w:rsidP="00643DF0">
            <w:pPr>
              <w:rPr>
                <w:rFonts w:ascii="Times New Roman" w:hAnsi="Times New Roman"/>
                <w:i/>
              </w:rPr>
            </w:pPr>
            <w:r w:rsidRPr="00C258EA">
              <w:rPr>
                <w:rFonts w:ascii="Times New Roman" w:hAnsi="Times New Roman"/>
              </w:rPr>
              <w:t>Hazard ratio (95% CI)</w:t>
            </w:r>
          </w:p>
        </w:tc>
        <w:tc>
          <w:tcPr>
            <w:tcW w:w="1083" w:type="dxa"/>
            <w:vAlign w:val="center"/>
          </w:tcPr>
          <w:p w14:paraId="43368299" w14:textId="77777777" w:rsidR="0036050E" w:rsidRPr="00C258EA" w:rsidRDefault="0036050E" w:rsidP="00643DF0">
            <w:pPr>
              <w:rPr>
                <w:rFonts w:ascii="Times New Roman" w:hAnsi="Times New Roman"/>
                <w:i/>
              </w:rPr>
            </w:pPr>
            <w:proofErr w:type="gramStart"/>
            <w:r w:rsidRPr="00C258EA">
              <w:rPr>
                <w:rFonts w:ascii="Times New Roman" w:hAnsi="Times New Roman"/>
                <w:i/>
              </w:rPr>
              <w:t>p</w:t>
            </w:r>
            <w:proofErr w:type="gramEnd"/>
            <w:r w:rsidRPr="00C258EA">
              <w:rPr>
                <w:rFonts w:ascii="Times New Roman" w:hAnsi="Times New Roman"/>
              </w:rPr>
              <w:t>–value</w:t>
            </w:r>
          </w:p>
        </w:tc>
      </w:tr>
      <w:tr w:rsidR="0036050E" w:rsidRPr="00C258EA" w14:paraId="68A0324A" w14:textId="77777777" w:rsidTr="00643DF0">
        <w:tc>
          <w:tcPr>
            <w:tcW w:w="2093" w:type="dxa"/>
          </w:tcPr>
          <w:p w14:paraId="47752907" w14:textId="77777777" w:rsidR="0036050E" w:rsidRPr="00C258EA" w:rsidRDefault="0036050E" w:rsidP="00643DF0">
            <w:pPr>
              <w:rPr>
                <w:rFonts w:ascii="Times New Roman" w:hAnsi="Times New Roman"/>
              </w:rPr>
            </w:pPr>
            <w:r w:rsidRPr="00C258EA">
              <w:rPr>
                <w:rFonts w:ascii="Times New Roman" w:hAnsi="Times New Roman"/>
              </w:rPr>
              <w:t>Age</w:t>
            </w:r>
          </w:p>
        </w:tc>
        <w:tc>
          <w:tcPr>
            <w:tcW w:w="1966" w:type="dxa"/>
            <w:vAlign w:val="center"/>
          </w:tcPr>
          <w:p w14:paraId="74B3D412" w14:textId="77777777" w:rsidR="0036050E" w:rsidRPr="00C258EA" w:rsidRDefault="0036050E" w:rsidP="00643DF0">
            <w:pPr>
              <w:rPr>
                <w:rFonts w:ascii="Times New Roman" w:hAnsi="Times New Roman"/>
              </w:rPr>
            </w:pPr>
            <w:r w:rsidRPr="00C258EA">
              <w:rPr>
                <w:rFonts w:ascii="Times New Roman" w:hAnsi="Times New Roman"/>
              </w:rPr>
              <w:t>1.057 (1.015–1.1)</w:t>
            </w:r>
          </w:p>
        </w:tc>
        <w:tc>
          <w:tcPr>
            <w:tcW w:w="1332" w:type="dxa"/>
            <w:vAlign w:val="center"/>
          </w:tcPr>
          <w:p w14:paraId="31DBB146" w14:textId="77777777" w:rsidR="0036050E" w:rsidRPr="00C258EA" w:rsidRDefault="0036050E" w:rsidP="00643DF0">
            <w:pPr>
              <w:rPr>
                <w:rFonts w:ascii="Times New Roman" w:hAnsi="Times New Roman"/>
              </w:rPr>
            </w:pPr>
            <w:r w:rsidRPr="00C258EA">
              <w:rPr>
                <w:rFonts w:ascii="Times New Roman" w:hAnsi="Times New Roman"/>
              </w:rPr>
              <w:t>0.007</w:t>
            </w:r>
          </w:p>
        </w:tc>
        <w:tc>
          <w:tcPr>
            <w:tcW w:w="1928" w:type="dxa"/>
          </w:tcPr>
          <w:p w14:paraId="542C9249" w14:textId="77777777" w:rsidR="0036050E" w:rsidRPr="00C258EA" w:rsidRDefault="0036050E" w:rsidP="00643DF0">
            <w:pPr>
              <w:rPr>
                <w:rFonts w:ascii="Times New Roman" w:hAnsi="Times New Roman"/>
              </w:rPr>
            </w:pPr>
            <w:r w:rsidRPr="00C258EA">
              <w:rPr>
                <w:rFonts w:ascii="Times New Roman" w:hAnsi="Times New Roman"/>
              </w:rPr>
              <w:t>1.036 (0.98-1.09)</w:t>
            </w:r>
          </w:p>
        </w:tc>
        <w:tc>
          <w:tcPr>
            <w:tcW w:w="1083" w:type="dxa"/>
          </w:tcPr>
          <w:p w14:paraId="4CF4DBC7" w14:textId="77777777" w:rsidR="0036050E" w:rsidRPr="00C258EA" w:rsidRDefault="0036050E" w:rsidP="00643DF0">
            <w:pPr>
              <w:rPr>
                <w:rFonts w:ascii="Times New Roman" w:hAnsi="Times New Roman"/>
              </w:rPr>
            </w:pPr>
            <w:r w:rsidRPr="00C258EA">
              <w:rPr>
                <w:rFonts w:ascii="Times New Roman" w:hAnsi="Times New Roman"/>
              </w:rPr>
              <w:t>0.178</w:t>
            </w:r>
          </w:p>
        </w:tc>
      </w:tr>
      <w:tr w:rsidR="0036050E" w:rsidRPr="00C258EA" w14:paraId="289DDC57" w14:textId="77777777" w:rsidTr="00643DF0">
        <w:tc>
          <w:tcPr>
            <w:tcW w:w="2093" w:type="dxa"/>
          </w:tcPr>
          <w:p w14:paraId="64B62848" w14:textId="77777777" w:rsidR="0036050E" w:rsidRPr="00C258EA" w:rsidRDefault="0036050E" w:rsidP="00643DF0">
            <w:pPr>
              <w:rPr>
                <w:rFonts w:ascii="Times New Roman" w:hAnsi="Times New Roman"/>
              </w:rPr>
            </w:pPr>
            <w:r w:rsidRPr="00C258EA">
              <w:rPr>
                <w:rFonts w:ascii="Times New Roman" w:hAnsi="Times New Roman"/>
              </w:rPr>
              <w:t>High-grade progression</w:t>
            </w:r>
          </w:p>
        </w:tc>
        <w:tc>
          <w:tcPr>
            <w:tcW w:w="1966" w:type="dxa"/>
            <w:vAlign w:val="center"/>
          </w:tcPr>
          <w:p w14:paraId="3B344579" w14:textId="77777777" w:rsidR="0036050E" w:rsidRPr="00C258EA" w:rsidRDefault="0036050E" w:rsidP="00643DF0">
            <w:pPr>
              <w:rPr>
                <w:rFonts w:ascii="Times New Roman" w:hAnsi="Times New Roman"/>
              </w:rPr>
            </w:pPr>
            <w:r w:rsidRPr="00C258EA">
              <w:rPr>
                <w:rFonts w:ascii="Times New Roman" w:hAnsi="Times New Roman"/>
              </w:rPr>
              <w:t>3.87 (1.72-8.69)</w:t>
            </w:r>
          </w:p>
        </w:tc>
        <w:tc>
          <w:tcPr>
            <w:tcW w:w="1332" w:type="dxa"/>
            <w:vAlign w:val="center"/>
          </w:tcPr>
          <w:p w14:paraId="5F59FB56" w14:textId="77777777" w:rsidR="0036050E" w:rsidRPr="00C258EA" w:rsidRDefault="0036050E" w:rsidP="00643DF0">
            <w:pPr>
              <w:rPr>
                <w:rFonts w:ascii="Times New Roman" w:hAnsi="Times New Roman"/>
              </w:rPr>
            </w:pPr>
            <w:r w:rsidRPr="00C258EA">
              <w:rPr>
                <w:rFonts w:ascii="Times New Roman" w:hAnsi="Times New Roman"/>
              </w:rPr>
              <w:t>0.001</w:t>
            </w:r>
          </w:p>
        </w:tc>
        <w:tc>
          <w:tcPr>
            <w:tcW w:w="1928" w:type="dxa"/>
          </w:tcPr>
          <w:p w14:paraId="1A0BFDEB" w14:textId="77777777" w:rsidR="0036050E" w:rsidRPr="00C258EA" w:rsidRDefault="0036050E" w:rsidP="00643DF0">
            <w:pPr>
              <w:rPr>
                <w:rFonts w:ascii="Times New Roman" w:hAnsi="Times New Roman"/>
              </w:rPr>
            </w:pPr>
            <w:r w:rsidRPr="00C258EA">
              <w:rPr>
                <w:rFonts w:ascii="Times New Roman" w:hAnsi="Times New Roman"/>
              </w:rPr>
              <w:t>3.89 (0.98-15.41)</w:t>
            </w:r>
          </w:p>
        </w:tc>
        <w:tc>
          <w:tcPr>
            <w:tcW w:w="1083" w:type="dxa"/>
          </w:tcPr>
          <w:p w14:paraId="5918D485" w14:textId="77777777" w:rsidR="0036050E" w:rsidRPr="00C258EA" w:rsidRDefault="0036050E" w:rsidP="00643DF0">
            <w:pPr>
              <w:rPr>
                <w:rFonts w:ascii="Times New Roman" w:hAnsi="Times New Roman"/>
              </w:rPr>
            </w:pPr>
            <w:r w:rsidRPr="00C258EA">
              <w:rPr>
                <w:rFonts w:ascii="Times New Roman" w:hAnsi="Times New Roman"/>
              </w:rPr>
              <w:t>0.053</w:t>
            </w:r>
          </w:p>
        </w:tc>
      </w:tr>
      <w:tr w:rsidR="0036050E" w:rsidRPr="00C258EA" w14:paraId="23669984" w14:textId="77777777" w:rsidTr="00643DF0">
        <w:tc>
          <w:tcPr>
            <w:tcW w:w="2093" w:type="dxa"/>
          </w:tcPr>
          <w:p w14:paraId="4B1AD045" w14:textId="77777777" w:rsidR="0036050E" w:rsidRPr="00C258EA" w:rsidRDefault="0036050E" w:rsidP="00643DF0">
            <w:pPr>
              <w:rPr>
                <w:rFonts w:ascii="Times New Roman" w:hAnsi="Times New Roman"/>
              </w:rPr>
            </w:pPr>
            <w:r w:rsidRPr="00C258EA">
              <w:rPr>
                <w:rFonts w:ascii="Times New Roman" w:hAnsi="Times New Roman"/>
              </w:rPr>
              <w:t>Change in disease behavior</w:t>
            </w:r>
          </w:p>
        </w:tc>
        <w:tc>
          <w:tcPr>
            <w:tcW w:w="1966" w:type="dxa"/>
            <w:vAlign w:val="center"/>
          </w:tcPr>
          <w:p w14:paraId="5EB4B8A9" w14:textId="77777777" w:rsidR="0036050E" w:rsidRPr="00C258EA" w:rsidRDefault="0036050E" w:rsidP="00643DF0">
            <w:pPr>
              <w:rPr>
                <w:rFonts w:ascii="Times New Roman" w:hAnsi="Times New Roman"/>
              </w:rPr>
            </w:pPr>
            <w:r w:rsidRPr="00C258EA">
              <w:rPr>
                <w:rFonts w:ascii="Times New Roman" w:hAnsi="Times New Roman"/>
              </w:rPr>
              <w:t>2.47 (1.042-5.87)</w:t>
            </w:r>
          </w:p>
        </w:tc>
        <w:tc>
          <w:tcPr>
            <w:tcW w:w="1332" w:type="dxa"/>
            <w:vAlign w:val="center"/>
          </w:tcPr>
          <w:p w14:paraId="561D242E" w14:textId="77777777" w:rsidR="0036050E" w:rsidRPr="00C258EA" w:rsidRDefault="0036050E" w:rsidP="00643DF0">
            <w:pPr>
              <w:rPr>
                <w:rFonts w:ascii="Times New Roman" w:hAnsi="Times New Roman"/>
              </w:rPr>
            </w:pPr>
            <w:r w:rsidRPr="00C258EA">
              <w:rPr>
                <w:rFonts w:ascii="Times New Roman" w:hAnsi="Times New Roman"/>
              </w:rPr>
              <w:t>0.04</w:t>
            </w:r>
          </w:p>
        </w:tc>
        <w:tc>
          <w:tcPr>
            <w:tcW w:w="1928" w:type="dxa"/>
          </w:tcPr>
          <w:p w14:paraId="3701CB0F" w14:textId="77777777" w:rsidR="0036050E" w:rsidRPr="00C258EA" w:rsidRDefault="0036050E" w:rsidP="00643DF0">
            <w:pPr>
              <w:rPr>
                <w:rFonts w:ascii="Times New Roman" w:hAnsi="Times New Roman"/>
              </w:rPr>
            </w:pPr>
            <w:r w:rsidRPr="00C258EA">
              <w:rPr>
                <w:rFonts w:ascii="Times New Roman" w:hAnsi="Times New Roman"/>
              </w:rPr>
              <w:t>2 (0.59-6.78)</w:t>
            </w:r>
          </w:p>
        </w:tc>
        <w:tc>
          <w:tcPr>
            <w:tcW w:w="1083" w:type="dxa"/>
          </w:tcPr>
          <w:p w14:paraId="5AD7C9D3" w14:textId="77777777" w:rsidR="0036050E" w:rsidRPr="00C258EA" w:rsidRDefault="0036050E" w:rsidP="00643DF0">
            <w:pPr>
              <w:rPr>
                <w:rFonts w:ascii="Times New Roman" w:hAnsi="Times New Roman"/>
              </w:rPr>
            </w:pPr>
            <w:r w:rsidRPr="00C258EA">
              <w:rPr>
                <w:rFonts w:ascii="Times New Roman" w:hAnsi="Times New Roman"/>
              </w:rPr>
              <w:t>0.264</w:t>
            </w:r>
          </w:p>
        </w:tc>
      </w:tr>
      <w:tr w:rsidR="0036050E" w:rsidRPr="00C258EA" w14:paraId="2E1F371A" w14:textId="77777777" w:rsidTr="00643DF0">
        <w:tc>
          <w:tcPr>
            <w:tcW w:w="2093" w:type="dxa"/>
          </w:tcPr>
          <w:p w14:paraId="321C2C14" w14:textId="77777777" w:rsidR="0036050E" w:rsidRPr="00C258EA" w:rsidRDefault="0036050E" w:rsidP="00643DF0">
            <w:pPr>
              <w:rPr>
                <w:rFonts w:ascii="Times New Roman" w:hAnsi="Times New Roman"/>
              </w:rPr>
            </w:pPr>
            <w:r w:rsidRPr="00C258EA">
              <w:rPr>
                <w:rFonts w:ascii="Times New Roman" w:hAnsi="Times New Roman"/>
              </w:rPr>
              <w:t>Necrosis in follow-up sample</w:t>
            </w:r>
          </w:p>
        </w:tc>
        <w:tc>
          <w:tcPr>
            <w:tcW w:w="1966" w:type="dxa"/>
            <w:vAlign w:val="center"/>
          </w:tcPr>
          <w:p w14:paraId="7DD3CDE8" w14:textId="77777777" w:rsidR="0036050E" w:rsidRPr="00C258EA" w:rsidRDefault="0036050E" w:rsidP="00643DF0">
            <w:pPr>
              <w:rPr>
                <w:rFonts w:ascii="Times New Roman" w:hAnsi="Times New Roman"/>
              </w:rPr>
            </w:pPr>
            <w:r w:rsidRPr="00C258EA">
              <w:rPr>
                <w:rFonts w:ascii="Times New Roman" w:hAnsi="Times New Roman"/>
              </w:rPr>
              <w:t>-</w:t>
            </w:r>
          </w:p>
        </w:tc>
        <w:tc>
          <w:tcPr>
            <w:tcW w:w="1332" w:type="dxa"/>
            <w:vAlign w:val="center"/>
          </w:tcPr>
          <w:p w14:paraId="418F4AE5" w14:textId="77777777" w:rsidR="0036050E" w:rsidRPr="00C258EA" w:rsidRDefault="0036050E" w:rsidP="00643DF0">
            <w:pPr>
              <w:rPr>
                <w:rFonts w:ascii="Times New Roman" w:hAnsi="Times New Roman"/>
              </w:rPr>
            </w:pPr>
            <w:r w:rsidRPr="00C258EA">
              <w:rPr>
                <w:rFonts w:ascii="Times New Roman" w:hAnsi="Times New Roman"/>
              </w:rPr>
              <w:t>-</w:t>
            </w:r>
          </w:p>
        </w:tc>
        <w:tc>
          <w:tcPr>
            <w:tcW w:w="1928" w:type="dxa"/>
          </w:tcPr>
          <w:p w14:paraId="313918B8" w14:textId="77777777" w:rsidR="0036050E" w:rsidRPr="00C258EA" w:rsidRDefault="0036050E" w:rsidP="00643DF0">
            <w:pPr>
              <w:rPr>
                <w:rFonts w:ascii="Times New Roman" w:hAnsi="Times New Roman"/>
              </w:rPr>
            </w:pPr>
            <w:r w:rsidRPr="00C258EA">
              <w:rPr>
                <w:rFonts w:ascii="Times New Roman" w:hAnsi="Times New Roman"/>
              </w:rPr>
              <w:t>1.531 (0.56-4.2)</w:t>
            </w:r>
          </w:p>
        </w:tc>
        <w:tc>
          <w:tcPr>
            <w:tcW w:w="1083" w:type="dxa"/>
          </w:tcPr>
          <w:p w14:paraId="76762966" w14:textId="77777777" w:rsidR="0036050E" w:rsidRPr="00C258EA" w:rsidRDefault="0036050E" w:rsidP="00643DF0">
            <w:pPr>
              <w:rPr>
                <w:rFonts w:ascii="Times New Roman" w:hAnsi="Times New Roman"/>
              </w:rPr>
            </w:pPr>
            <w:r w:rsidRPr="00C258EA">
              <w:rPr>
                <w:rFonts w:ascii="Times New Roman" w:hAnsi="Times New Roman"/>
              </w:rPr>
              <w:t>0.41</w:t>
            </w:r>
          </w:p>
        </w:tc>
      </w:tr>
    </w:tbl>
    <w:p w14:paraId="7E919C76" w14:textId="77777777" w:rsidR="0036050E" w:rsidRPr="00C258EA" w:rsidRDefault="0036050E" w:rsidP="0036050E">
      <w:pPr>
        <w:spacing w:line="480" w:lineRule="auto"/>
        <w:rPr>
          <w:rFonts w:ascii="Times New Roman" w:hAnsi="Times New Roman" w:cs="Times New Roman"/>
        </w:rPr>
      </w:pPr>
      <w:r w:rsidRPr="00C258EA">
        <w:rPr>
          <w:rFonts w:ascii="Times New Roman" w:hAnsi="Times New Roman" w:cs="Times New Roman"/>
        </w:rPr>
        <w:t xml:space="preserve">Multivariate analysis included characteristics that were significant in </w:t>
      </w:r>
      <w:proofErr w:type="spellStart"/>
      <w:r w:rsidRPr="00C258EA">
        <w:rPr>
          <w:rFonts w:ascii="Times New Roman" w:hAnsi="Times New Roman" w:cs="Times New Roman"/>
        </w:rPr>
        <w:t>univariate</w:t>
      </w:r>
      <w:proofErr w:type="spellEnd"/>
      <w:r w:rsidRPr="00C258EA">
        <w:rPr>
          <w:rFonts w:ascii="Times New Roman" w:hAnsi="Times New Roman" w:cs="Times New Roman"/>
        </w:rPr>
        <w:t xml:space="preserve"> analysis, at baseline (age) and follow-up (high-grade progression and change in disease behavior). Only one variable related to Ki-67 index (i.e. high-grade progression) was selected to avoid over fitting. Baseline necrosis was </w:t>
      </w:r>
      <w:proofErr w:type="gramStart"/>
      <w:r w:rsidRPr="00C258EA">
        <w:rPr>
          <w:rFonts w:ascii="Times New Roman" w:hAnsi="Times New Roman" w:cs="Times New Roman"/>
        </w:rPr>
        <w:t>excluded</w:t>
      </w:r>
      <w:proofErr w:type="gramEnd"/>
      <w:r w:rsidRPr="00C258EA">
        <w:rPr>
          <w:rFonts w:ascii="Times New Roman" w:hAnsi="Times New Roman" w:cs="Times New Roman"/>
        </w:rPr>
        <w:t xml:space="preserve"> as this information was available for only 26 out of the 44 described patients.</w:t>
      </w:r>
    </w:p>
    <w:p w14:paraId="332C47AA" w14:textId="77777777" w:rsidR="0036050E" w:rsidRPr="00C258EA" w:rsidRDefault="0036050E" w:rsidP="0036050E">
      <w:pPr>
        <w:spacing w:line="480" w:lineRule="auto"/>
        <w:rPr>
          <w:rFonts w:ascii="Times New Roman" w:hAnsi="Times New Roman" w:cs="Times New Roman"/>
        </w:rPr>
      </w:pPr>
    </w:p>
    <w:p w14:paraId="44C614B5" w14:textId="77777777" w:rsidR="0036050E" w:rsidRPr="00C258EA" w:rsidRDefault="0036050E" w:rsidP="0036050E">
      <w:pPr>
        <w:rPr>
          <w:rFonts w:ascii="Times New Roman" w:hAnsi="Times New Roman" w:cs="Times New Roman"/>
          <w:b/>
        </w:rPr>
      </w:pPr>
      <w:r w:rsidRPr="00C258EA">
        <w:rPr>
          <w:rFonts w:ascii="Times New Roman" w:hAnsi="Times New Roman" w:cs="Times New Roman"/>
          <w:b/>
        </w:rPr>
        <w:br w:type="page"/>
      </w:r>
    </w:p>
    <w:p w14:paraId="7E153652" w14:textId="77777777" w:rsidR="0036050E" w:rsidRPr="00C258EA" w:rsidRDefault="0036050E" w:rsidP="0036050E">
      <w:pPr>
        <w:rPr>
          <w:rFonts w:ascii="Times New Roman" w:hAnsi="Times New Roman" w:cs="Times New Roman"/>
        </w:rPr>
      </w:pPr>
      <w:proofErr w:type="spellStart"/>
      <w:proofErr w:type="gramStart"/>
      <w:r w:rsidRPr="00C258EA">
        <w:rPr>
          <w:rFonts w:ascii="Times New Roman" w:hAnsi="Times New Roman" w:cs="Times New Roman"/>
          <w:b/>
        </w:rPr>
        <w:t>sTable</w:t>
      </w:r>
      <w:proofErr w:type="spellEnd"/>
      <w:proofErr w:type="gramEnd"/>
      <w:r w:rsidRPr="00C258EA">
        <w:rPr>
          <w:rFonts w:ascii="Times New Roman" w:hAnsi="Times New Roman" w:cs="Times New Roman"/>
          <w:b/>
        </w:rPr>
        <w:t xml:space="preserve"> 5</w:t>
      </w:r>
      <w:r w:rsidRPr="00C258EA">
        <w:rPr>
          <w:rFonts w:ascii="Times New Roman" w:hAnsi="Times New Roman" w:cs="Times New Roman"/>
        </w:rPr>
        <w:t xml:space="preserve"> Survival from time of first follow-up sample</w:t>
      </w:r>
    </w:p>
    <w:tbl>
      <w:tblPr>
        <w:tblStyle w:val="TableGrid"/>
        <w:tblW w:w="8575" w:type="dxa"/>
        <w:tblLook w:val="04A0" w:firstRow="1" w:lastRow="0" w:firstColumn="1" w:lastColumn="0" w:noHBand="0" w:noVBand="1"/>
      </w:tblPr>
      <w:tblGrid>
        <w:gridCol w:w="3227"/>
        <w:gridCol w:w="1984"/>
        <w:gridCol w:w="2127"/>
        <w:gridCol w:w="1237"/>
      </w:tblGrid>
      <w:tr w:rsidR="0036050E" w:rsidRPr="00C258EA" w14:paraId="3A1E9101" w14:textId="77777777" w:rsidTr="00643DF0">
        <w:tc>
          <w:tcPr>
            <w:tcW w:w="3227" w:type="dxa"/>
          </w:tcPr>
          <w:p w14:paraId="0ED1EE70" w14:textId="77777777" w:rsidR="0036050E" w:rsidRPr="00C258EA" w:rsidRDefault="0036050E" w:rsidP="00643DF0">
            <w:pPr>
              <w:rPr>
                <w:rFonts w:ascii="Times New Roman" w:hAnsi="Times New Roman" w:cs="Times New Roman"/>
              </w:rPr>
            </w:pPr>
          </w:p>
        </w:tc>
        <w:tc>
          <w:tcPr>
            <w:tcW w:w="1984" w:type="dxa"/>
          </w:tcPr>
          <w:p w14:paraId="26B501E6"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Median survival</w:t>
            </w:r>
          </w:p>
        </w:tc>
        <w:tc>
          <w:tcPr>
            <w:tcW w:w="2127" w:type="dxa"/>
          </w:tcPr>
          <w:p w14:paraId="0916ABC6"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HR (95% CI) log–rank test</w:t>
            </w:r>
          </w:p>
        </w:tc>
        <w:tc>
          <w:tcPr>
            <w:tcW w:w="1237" w:type="dxa"/>
          </w:tcPr>
          <w:p w14:paraId="45C88EE4"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 xml:space="preserve">Log–rank </w:t>
            </w:r>
            <w:r w:rsidRPr="00C258EA">
              <w:rPr>
                <w:rFonts w:ascii="Times New Roman" w:hAnsi="Times New Roman" w:cs="Times New Roman"/>
                <w:i/>
              </w:rPr>
              <w:t>P</w:t>
            </w:r>
          </w:p>
        </w:tc>
      </w:tr>
      <w:tr w:rsidR="0036050E" w:rsidRPr="00C258EA" w14:paraId="34F90262" w14:textId="77777777" w:rsidTr="00643DF0">
        <w:tc>
          <w:tcPr>
            <w:tcW w:w="3227" w:type="dxa"/>
          </w:tcPr>
          <w:p w14:paraId="41AD947A"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 xml:space="preserve">Patients with </w:t>
            </w:r>
            <w:proofErr w:type="spellStart"/>
            <w:r w:rsidRPr="00C258EA">
              <w:rPr>
                <w:rFonts w:ascii="Times New Roman" w:hAnsi="Times New Roman" w:cs="Times New Roman"/>
              </w:rPr>
              <w:t>metachronous</w:t>
            </w:r>
            <w:proofErr w:type="spellEnd"/>
            <w:r w:rsidRPr="00C258EA">
              <w:rPr>
                <w:rFonts w:ascii="Times New Roman" w:hAnsi="Times New Roman" w:cs="Times New Roman"/>
              </w:rPr>
              <w:t xml:space="preserve"> samples (</w:t>
            </w:r>
            <w:r w:rsidRPr="00C258EA">
              <w:rPr>
                <w:rFonts w:ascii="Times New Roman" w:hAnsi="Times New Roman" w:cs="Times New Roman"/>
                <w:i/>
              </w:rPr>
              <w:t>n</w:t>
            </w:r>
            <w:r w:rsidRPr="00C258EA">
              <w:rPr>
                <w:rFonts w:ascii="Times New Roman" w:hAnsi="Times New Roman" w:cs="Times New Roman"/>
              </w:rPr>
              <w:t>=46)</w:t>
            </w:r>
          </w:p>
        </w:tc>
        <w:tc>
          <w:tcPr>
            <w:tcW w:w="1984" w:type="dxa"/>
          </w:tcPr>
          <w:p w14:paraId="3B25E03E"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22.2 (12.2–35.5)</w:t>
            </w:r>
          </w:p>
        </w:tc>
        <w:tc>
          <w:tcPr>
            <w:tcW w:w="2127" w:type="dxa"/>
          </w:tcPr>
          <w:p w14:paraId="37186EC9"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NA</w:t>
            </w:r>
          </w:p>
        </w:tc>
        <w:tc>
          <w:tcPr>
            <w:tcW w:w="1237" w:type="dxa"/>
          </w:tcPr>
          <w:p w14:paraId="3F5EDAB4" w14:textId="77777777" w:rsidR="0036050E" w:rsidRPr="00C258EA" w:rsidRDefault="0036050E" w:rsidP="00643DF0">
            <w:pPr>
              <w:rPr>
                <w:rFonts w:ascii="Times New Roman" w:hAnsi="Times New Roman" w:cs="Times New Roman"/>
              </w:rPr>
            </w:pPr>
          </w:p>
        </w:tc>
      </w:tr>
      <w:tr w:rsidR="0036050E" w:rsidRPr="00C258EA" w14:paraId="11AEF1ED" w14:textId="77777777" w:rsidTr="00643DF0">
        <w:tc>
          <w:tcPr>
            <w:tcW w:w="3227" w:type="dxa"/>
          </w:tcPr>
          <w:p w14:paraId="4FDD3F05" w14:textId="77777777" w:rsidR="0036050E" w:rsidRPr="00C258EA" w:rsidRDefault="0036050E" w:rsidP="00643DF0">
            <w:pPr>
              <w:rPr>
                <w:rFonts w:ascii="Times New Roman" w:hAnsi="Times New Roman" w:cs="Times New Roman"/>
              </w:rPr>
            </w:pPr>
          </w:p>
        </w:tc>
        <w:tc>
          <w:tcPr>
            <w:tcW w:w="1984" w:type="dxa"/>
          </w:tcPr>
          <w:p w14:paraId="75C77F5A" w14:textId="77777777" w:rsidR="0036050E" w:rsidRPr="00C258EA" w:rsidRDefault="0036050E" w:rsidP="00643DF0">
            <w:pPr>
              <w:rPr>
                <w:rFonts w:ascii="Times New Roman" w:hAnsi="Times New Roman" w:cs="Times New Roman"/>
              </w:rPr>
            </w:pPr>
          </w:p>
        </w:tc>
        <w:tc>
          <w:tcPr>
            <w:tcW w:w="2127" w:type="dxa"/>
          </w:tcPr>
          <w:p w14:paraId="016D860D" w14:textId="77777777" w:rsidR="0036050E" w:rsidRPr="00C258EA" w:rsidRDefault="0036050E" w:rsidP="00643DF0">
            <w:pPr>
              <w:rPr>
                <w:rFonts w:ascii="Times New Roman" w:hAnsi="Times New Roman" w:cs="Times New Roman"/>
              </w:rPr>
            </w:pPr>
          </w:p>
        </w:tc>
        <w:tc>
          <w:tcPr>
            <w:tcW w:w="1237" w:type="dxa"/>
          </w:tcPr>
          <w:p w14:paraId="61BC58FE" w14:textId="77777777" w:rsidR="0036050E" w:rsidRPr="00C258EA" w:rsidRDefault="0036050E" w:rsidP="00643DF0">
            <w:pPr>
              <w:rPr>
                <w:rFonts w:ascii="Times New Roman" w:hAnsi="Times New Roman" w:cs="Times New Roman"/>
              </w:rPr>
            </w:pPr>
          </w:p>
        </w:tc>
      </w:tr>
      <w:tr w:rsidR="0036050E" w:rsidRPr="00C258EA" w14:paraId="47B9BC54" w14:textId="77777777" w:rsidTr="00643DF0">
        <w:tc>
          <w:tcPr>
            <w:tcW w:w="3227" w:type="dxa"/>
          </w:tcPr>
          <w:p w14:paraId="7F83D461"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Ki-67 index, absolute change between diagnostic and 1</w:t>
            </w:r>
            <w:r w:rsidRPr="00C258EA">
              <w:rPr>
                <w:rFonts w:ascii="Times New Roman" w:hAnsi="Times New Roman" w:cs="Times New Roman"/>
                <w:vertAlign w:val="superscript"/>
              </w:rPr>
              <w:t>st</w:t>
            </w:r>
            <w:r w:rsidRPr="00C258EA">
              <w:rPr>
                <w:rFonts w:ascii="Times New Roman" w:hAnsi="Times New Roman" w:cs="Times New Roman"/>
              </w:rPr>
              <w:t xml:space="preserve"> follow-up</w:t>
            </w:r>
          </w:p>
        </w:tc>
        <w:tc>
          <w:tcPr>
            <w:tcW w:w="1984" w:type="dxa"/>
          </w:tcPr>
          <w:p w14:paraId="7F7791C8"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NA</w:t>
            </w:r>
          </w:p>
        </w:tc>
        <w:tc>
          <w:tcPr>
            <w:tcW w:w="2127" w:type="dxa"/>
          </w:tcPr>
          <w:p w14:paraId="2920B24C"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1.04 (1.02–1.05)</w:t>
            </w:r>
          </w:p>
        </w:tc>
        <w:tc>
          <w:tcPr>
            <w:tcW w:w="1237" w:type="dxa"/>
          </w:tcPr>
          <w:p w14:paraId="6664E533"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&lt;0.001</w:t>
            </w:r>
          </w:p>
        </w:tc>
      </w:tr>
      <w:tr w:rsidR="0036050E" w:rsidRPr="00C258EA" w14:paraId="1E0E6DCA" w14:textId="77777777" w:rsidTr="00643DF0">
        <w:tc>
          <w:tcPr>
            <w:tcW w:w="3227" w:type="dxa"/>
          </w:tcPr>
          <w:p w14:paraId="3B7AC473" w14:textId="77777777" w:rsidR="0036050E" w:rsidRPr="00C258EA" w:rsidRDefault="0036050E" w:rsidP="00643DF0">
            <w:pPr>
              <w:rPr>
                <w:rFonts w:ascii="Times New Roman" w:hAnsi="Times New Roman" w:cs="Times New Roman"/>
              </w:rPr>
            </w:pPr>
          </w:p>
        </w:tc>
        <w:tc>
          <w:tcPr>
            <w:tcW w:w="1984" w:type="dxa"/>
          </w:tcPr>
          <w:p w14:paraId="6FCF32C3" w14:textId="77777777" w:rsidR="0036050E" w:rsidRPr="00C258EA" w:rsidRDefault="0036050E" w:rsidP="00643DF0">
            <w:pPr>
              <w:rPr>
                <w:rFonts w:ascii="Times New Roman" w:hAnsi="Times New Roman" w:cs="Times New Roman"/>
              </w:rPr>
            </w:pPr>
          </w:p>
        </w:tc>
        <w:tc>
          <w:tcPr>
            <w:tcW w:w="2127" w:type="dxa"/>
          </w:tcPr>
          <w:p w14:paraId="7ADB4B83" w14:textId="77777777" w:rsidR="0036050E" w:rsidRPr="00C258EA" w:rsidRDefault="0036050E" w:rsidP="00643DF0">
            <w:pPr>
              <w:rPr>
                <w:rFonts w:ascii="Times New Roman" w:hAnsi="Times New Roman" w:cs="Times New Roman"/>
              </w:rPr>
            </w:pPr>
          </w:p>
        </w:tc>
        <w:tc>
          <w:tcPr>
            <w:tcW w:w="1237" w:type="dxa"/>
          </w:tcPr>
          <w:p w14:paraId="49ECD75A" w14:textId="77777777" w:rsidR="0036050E" w:rsidRPr="00C258EA" w:rsidRDefault="0036050E" w:rsidP="00643DF0">
            <w:pPr>
              <w:rPr>
                <w:rFonts w:ascii="Times New Roman" w:hAnsi="Times New Roman" w:cs="Times New Roman"/>
              </w:rPr>
            </w:pPr>
          </w:p>
        </w:tc>
      </w:tr>
      <w:tr w:rsidR="0036050E" w:rsidRPr="00C258EA" w14:paraId="1C465B42" w14:textId="77777777" w:rsidTr="00643DF0">
        <w:tc>
          <w:tcPr>
            <w:tcW w:w="3227" w:type="dxa"/>
          </w:tcPr>
          <w:p w14:paraId="2A96ACE9"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NET G3 progression</w:t>
            </w:r>
          </w:p>
        </w:tc>
        <w:tc>
          <w:tcPr>
            <w:tcW w:w="1984" w:type="dxa"/>
          </w:tcPr>
          <w:p w14:paraId="717427E8" w14:textId="77777777" w:rsidR="0036050E" w:rsidRPr="00C258EA" w:rsidRDefault="0036050E" w:rsidP="00643DF0">
            <w:pPr>
              <w:rPr>
                <w:rFonts w:ascii="Times New Roman" w:hAnsi="Times New Roman" w:cs="Times New Roman"/>
              </w:rPr>
            </w:pPr>
          </w:p>
        </w:tc>
        <w:tc>
          <w:tcPr>
            <w:tcW w:w="2127" w:type="dxa"/>
          </w:tcPr>
          <w:p w14:paraId="102BD124" w14:textId="77777777" w:rsidR="0036050E" w:rsidRPr="00C258EA" w:rsidRDefault="0036050E" w:rsidP="00643DF0">
            <w:pPr>
              <w:rPr>
                <w:rFonts w:ascii="Times New Roman" w:hAnsi="Times New Roman" w:cs="Times New Roman"/>
              </w:rPr>
            </w:pPr>
          </w:p>
        </w:tc>
        <w:tc>
          <w:tcPr>
            <w:tcW w:w="1237" w:type="dxa"/>
          </w:tcPr>
          <w:p w14:paraId="7C030E3E" w14:textId="77777777" w:rsidR="0036050E" w:rsidRPr="00C258EA" w:rsidRDefault="0036050E" w:rsidP="00643DF0">
            <w:pPr>
              <w:rPr>
                <w:rFonts w:ascii="Times New Roman" w:hAnsi="Times New Roman" w:cs="Times New Roman"/>
              </w:rPr>
            </w:pPr>
          </w:p>
        </w:tc>
      </w:tr>
      <w:tr w:rsidR="0036050E" w:rsidRPr="00C258EA" w14:paraId="1A10B3C5" w14:textId="77777777" w:rsidTr="00643DF0">
        <w:tc>
          <w:tcPr>
            <w:tcW w:w="3227" w:type="dxa"/>
          </w:tcPr>
          <w:p w14:paraId="5227BAD5" w14:textId="77777777" w:rsidR="0036050E" w:rsidRPr="00C258EA" w:rsidRDefault="0036050E" w:rsidP="00643DF0">
            <w:pPr>
              <w:ind w:firstLine="142"/>
              <w:rPr>
                <w:rFonts w:ascii="Times New Roman" w:hAnsi="Times New Roman" w:cs="Times New Roman"/>
              </w:rPr>
            </w:pPr>
            <w:r w:rsidRPr="00C258EA">
              <w:rPr>
                <w:rFonts w:ascii="Times New Roman" w:hAnsi="Times New Roman" w:cs="Times New Roman"/>
              </w:rPr>
              <w:t>NET G3 progression (</w:t>
            </w:r>
            <w:r w:rsidRPr="00C258EA">
              <w:rPr>
                <w:rFonts w:ascii="Times New Roman" w:hAnsi="Times New Roman" w:cs="Times New Roman"/>
                <w:i/>
              </w:rPr>
              <w:t>n</w:t>
            </w:r>
            <w:r w:rsidRPr="00C258EA">
              <w:rPr>
                <w:rFonts w:ascii="Times New Roman" w:hAnsi="Times New Roman" w:cs="Times New Roman"/>
              </w:rPr>
              <w:t>=24)</w:t>
            </w:r>
          </w:p>
        </w:tc>
        <w:tc>
          <w:tcPr>
            <w:tcW w:w="1984" w:type="dxa"/>
          </w:tcPr>
          <w:p w14:paraId="59375EA2"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12.2 (5.9–22.2)</w:t>
            </w:r>
          </w:p>
        </w:tc>
        <w:tc>
          <w:tcPr>
            <w:tcW w:w="2127" w:type="dxa"/>
          </w:tcPr>
          <w:p w14:paraId="3C366436"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4.34 (2.02–9.35)</w:t>
            </w:r>
          </w:p>
        </w:tc>
        <w:tc>
          <w:tcPr>
            <w:tcW w:w="1237" w:type="dxa"/>
          </w:tcPr>
          <w:p w14:paraId="0DAF5306"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&lt;0.001</w:t>
            </w:r>
          </w:p>
        </w:tc>
      </w:tr>
      <w:tr w:rsidR="0036050E" w:rsidRPr="00C258EA" w14:paraId="41D4BCA1" w14:textId="77777777" w:rsidTr="00643DF0">
        <w:tc>
          <w:tcPr>
            <w:tcW w:w="3227" w:type="dxa"/>
          </w:tcPr>
          <w:p w14:paraId="0DCD54F3" w14:textId="77777777" w:rsidR="0036050E" w:rsidRPr="00C258EA" w:rsidRDefault="0036050E" w:rsidP="00643DF0">
            <w:pPr>
              <w:ind w:firstLine="142"/>
              <w:rPr>
                <w:rFonts w:ascii="Times New Roman" w:hAnsi="Times New Roman" w:cs="Times New Roman"/>
              </w:rPr>
            </w:pPr>
            <w:r w:rsidRPr="00C258EA">
              <w:rPr>
                <w:rFonts w:ascii="Times New Roman" w:hAnsi="Times New Roman" w:cs="Times New Roman"/>
              </w:rPr>
              <w:t>No G3 progression (</w:t>
            </w:r>
            <w:r w:rsidRPr="00C258EA">
              <w:rPr>
                <w:rFonts w:ascii="Times New Roman" w:hAnsi="Times New Roman" w:cs="Times New Roman"/>
                <w:i/>
              </w:rPr>
              <w:t>n</w:t>
            </w:r>
            <w:r w:rsidRPr="00C258EA">
              <w:rPr>
                <w:rFonts w:ascii="Times New Roman" w:hAnsi="Times New Roman" w:cs="Times New Roman"/>
              </w:rPr>
              <w:t>=20)</w:t>
            </w:r>
          </w:p>
        </w:tc>
        <w:tc>
          <w:tcPr>
            <w:tcW w:w="1984" w:type="dxa"/>
          </w:tcPr>
          <w:p w14:paraId="1940B397"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51.6 (20.9–158.9)</w:t>
            </w:r>
          </w:p>
        </w:tc>
        <w:tc>
          <w:tcPr>
            <w:tcW w:w="2127" w:type="dxa"/>
          </w:tcPr>
          <w:p w14:paraId="62365C01"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Ref</w:t>
            </w:r>
          </w:p>
        </w:tc>
        <w:tc>
          <w:tcPr>
            <w:tcW w:w="1237" w:type="dxa"/>
          </w:tcPr>
          <w:p w14:paraId="5A747C63" w14:textId="77777777" w:rsidR="0036050E" w:rsidRPr="00C258EA" w:rsidRDefault="0036050E" w:rsidP="00643DF0">
            <w:pPr>
              <w:rPr>
                <w:rFonts w:ascii="Times New Roman" w:hAnsi="Times New Roman" w:cs="Times New Roman"/>
              </w:rPr>
            </w:pPr>
          </w:p>
        </w:tc>
      </w:tr>
      <w:tr w:rsidR="0036050E" w:rsidRPr="00C258EA" w14:paraId="19A4DA8F" w14:textId="77777777" w:rsidTr="00643DF0">
        <w:tc>
          <w:tcPr>
            <w:tcW w:w="3227" w:type="dxa"/>
          </w:tcPr>
          <w:p w14:paraId="19553E16" w14:textId="77777777" w:rsidR="0036050E" w:rsidRPr="00C258EA" w:rsidRDefault="0036050E" w:rsidP="00643DF0">
            <w:pPr>
              <w:rPr>
                <w:rFonts w:ascii="Times New Roman" w:hAnsi="Times New Roman" w:cs="Times New Roman"/>
              </w:rPr>
            </w:pPr>
          </w:p>
        </w:tc>
        <w:tc>
          <w:tcPr>
            <w:tcW w:w="1984" w:type="dxa"/>
          </w:tcPr>
          <w:p w14:paraId="763BA469" w14:textId="77777777" w:rsidR="0036050E" w:rsidRPr="00C258EA" w:rsidRDefault="0036050E" w:rsidP="00643DF0">
            <w:pPr>
              <w:rPr>
                <w:rFonts w:ascii="Times New Roman" w:hAnsi="Times New Roman" w:cs="Times New Roman"/>
              </w:rPr>
            </w:pPr>
          </w:p>
        </w:tc>
        <w:tc>
          <w:tcPr>
            <w:tcW w:w="2127" w:type="dxa"/>
          </w:tcPr>
          <w:p w14:paraId="691F48DA" w14:textId="77777777" w:rsidR="0036050E" w:rsidRPr="00C258EA" w:rsidRDefault="0036050E" w:rsidP="00643DF0">
            <w:pPr>
              <w:rPr>
                <w:rFonts w:ascii="Times New Roman" w:hAnsi="Times New Roman" w:cs="Times New Roman"/>
              </w:rPr>
            </w:pPr>
          </w:p>
        </w:tc>
        <w:tc>
          <w:tcPr>
            <w:tcW w:w="1237" w:type="dxa"/>
          </w:tcPr>
          <w:p w14:paraId="703AC502" w14:textId="77777777" w:rsidR="0036050E" w:rsidRPr="00C258EA" w:rsidRDefault="0036050E" w:rsidP="00643DF0">
            <w:pPr>
              <w:rPr>
                <w:rFonts w:ascii="Times New Roman" w:hAnsi="Times New Roman" w:cs="Times New Roman"/>
              </w:rPr>
            </w:pPr>
          </w:p>
        </w:tc>
      </w:tr>
      <w:tr w:rsidR="0036050E" w:rsidRPr="00C258EA" w14:paraId="47041E4A" w14:textId="77777777" w:rsidTr="00643DF0">
        <w:tc>
          <w:tcPr>
            <w:tcW w:w="3227" w:type="dxa"/>
          </w:tcPr>
          <w:p w14:paraId="64616B1A"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Grade increase</w:t>
            </w:r>
          </w:p>
        </w:tc>
        <w:tc>
          <w:tcPr>
            <w:tcW w:w="1984" w:type="dxa"/>
          </w:tcPr>
          <w:p w14:paraId="0856A568" w14:textId="77777777" w:rsidR="0036050E" w:rsidRPr="00C258EA" w:rsidRDefault="0036050E" w:rsidP="00643DF0">
            <w:pPr>
              <w:rPr>
                <w:rFonts w:ascii="Times New Roman" w:hAnsi="Times New Roman" w:cs="Times New Roman"/>
              </w:rPr>
            </w:pPr>
          </w:p>
        </w:tc>
        <w:tc>
          <w:tcPr>
            <w:tcW w:w="2127" w:type="dxa"/>
          </w:tcPr>
          <w:p w14:paraId="7F143BE7" w14:textId="77777777" w:rsidR="0036050E" w:rsidRPr="00C258EA" w:rsidRDefault="0036050E" w:rsidP="00643DF0">
            <w:pPr>
              <w:rPr>
                <w:rFonts w:ascii="Times New Roman" w:hAnsi="Times New Roman" w:cs="Times New Roman"/>
              </w:rPr>
            </w:pPr>
          </w:p>
        </w:tc>
        <w:tc>
          <w:tcPr>
            <w:tcW w:w="1237" w:type="dxa"/>
          </w:tcPr>
          <w:p w14:paraId="464B04CE" w14:textId="77777777" w:rsidR="0036050E" w:rsidRPr="00C258EA" w:rsidRDefault="0036050E" w:rsidP="00643DF0">
            <w:pPr>
              <w:rPr>
                <w:rFonts w:ascii="Times New Roman" w:hAnsi="Times New Roman" w:cs="Times New Roman"/>
              </w:rPr>
            </w:pPr>
          </w:p>
        </w:tc>
      </w:tr>
      <w:tr w:rsidR="0036050E" w:rsidRPr="00C258EA" w14:paraId="2AEC2F34" w14:textId="77777777" w:rsidTr="00643DF0">
        <w:tc>
          <w:tcPr>
            <w:tcW w:w="3227" w:type="dxa"/>
          </w:tcPr>
          <w:p w14:paraId="040AD35B" w14:textId="77777777" w:rsidR="0036050E" w:rsidRPr="00C258EA" w:rsidRDefault="0036050E" w:rsidP="00643DF0">
            <w:pPr>
              <w:ind w:firstLine="142"/>
              <w:rPr>
                <w:rFonts w:ascii="Times New Roman" w:hAnsi="Times New Roman" w:cs="Times New Roman"/>
              </w:rPr>
            </w:pPr>
            <w:r w:rsidRPr="00C258EA">
              <w:rPr>
                <w:rFonts w:ascii="Times New Roman" w:hAnsi="Times New Roman" w:cs="Times New Roman"/>
              </w:rPr>
              <w:t>Grade increase (</w:t>
            </w:r>
            <w:r w:rsidRPr="00C258EA">
              <w:rPr>
                <w:rFonts w:ascii="Times New Roman" w:hAnsi="Times New Roman" w:cs="Times New Roman"/>
                <w:i/>
              </w:rPr>
              <w:t>n</w:t>
            </w:r>
            <w:r w:rsidRPr="00C258EA">
              <w:rPr>
                <w:rFonts w:ascii="Times New Roman" w:hAnsi="Times New Roman" w:cs="Times New Roman"/>
              </w:rPr>
              <w:t>=27)</w:t>
            </w:r>
          </w:p>
        </w:tc>
        <w:tc>
          <w:tcPr>
            <w:tcW w:w="1984" w:type="dxa"/>
          </w:tcPr>
          <w:p w14:paraId="2E5AEEB3"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12.9 (8.8–25.0)</w:t>
            </w:r>
          </w:p>
        </w:tc>
        <w:tc>
          <w:tcPr>
            <w:tcW w:w="2127" w:type="dxa"/>
          </w:tcPr>
          <w:p w14:paraId="71841C0C"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2.95 (1.37–6.34)</w:t>
            </w:r>
          </w:p>
        </w:tc>
        <w:tc>
          <w:tcPr>
            <w:tcW w:w="1237" w:type="dxa"/>
          </w:tcPr>
          <w:p w14:paraId="7434DC16"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0.006</w:t>
            </w:r>
          </w:p>
        </w:tc>
      </w:tr>
      <w:tr w:rsidR="0036050E" w:rsidRPr="00C258EA" w14:paraId="0DFE2DE5" w14:textId="77777777" w:rsidTr="00643DF0">
        <w:tc>
          <w:tcPr>
            <w:tcW w:w="3227" w:type="dxa"/>
          </w:tcPr>
          <w:p w14:paraId="41DBB76E" w14:textId="77777777" w:rsidR="0036050E" w:rsidRPr="00C258EA" w:rsidRDefault="0036050E" w:rsidP="00643DF0">
            <w:pPr>
              <w:ind w:firstLine="142"/>
              <w:rPr>
                <w:rFonts w:ascii="Times New Roman" w:hAnsi="Times New Roman" w:cs="Times New Roman"/>
              </w:rPr>
            </w:pPr>
            <w:r w:rsidRPr="00C258EA">
              <w:rPr>
                <w:rFonts w:ascii="Times New Roman" w:hAnsi="Times New Roman" w:cs="Times New Roman"/>
              </w:rPr>
              <w:t>No grade increase (</w:t>
            </w:r>
            <w:r w:rsidRPr="00C258EA">
              <w:rPr>
                <w:rFonts w:ascii="Times New Roman" w:hAnsi="Times New Roman" w:cs="Times New Roman"/>
                <w:i/>
              </w:rPr>
              <w:t>n</w:t>
            </w:r>
            <w:r w:rsidRPr="00C258EA">
              <w:rPr>
                <w:rFonts w:ascii="Times New Roman" w:hAnsi="Times New Roman" w:cs="Times New Roman"/>
              </w:rPr>
              <w:t>=17)</w:t>
            </w:r>
          </w:p>
        </w:tc>
        <w:tc>
          <w:tcPr>
            <w:tcW w:w="1984" w:type="dxa"/>
          </w:tcPr>
          <w:p w14:paraId="2518D320"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51.6 (20.9–NR)</w:t>
            </w:r>
          </w:p>
        </w:tc>
        <w:tc>
          <w:tcPr>
            <w:tcW w:w="2127" w:type="dxa"/>
          </w:tcPr>
          <w:p w14:paraId="44683623"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Ref</w:t>
            </w:r>
          </w:p>
        </w:tc>
        <w:tc>
          <w:tcPr>
            <w:tcW w:w="1237" w:type="dxa"/>
          </w:tcPr>
          <w:p w14:paraId="6CF1A970" w14:textId="77777777" w:rsidR="0036050E" w:rsidRPr="00C258EA" w:rsidRDefault="0036050E" w:rsidP="00643DF0">
            <w:pPr>
              <w:rPr>
                <w:rFonts w:ascii="Times New Roman" w:hAnsi="Times New Roman" w:cs="Times New Roman"/>
              </w:rPr>
            </w:pPr>
          </w:p>
        </w:tc>
      </w:tr>
      <w:tr w:rsidR="0036050E" w:rsidRPr="00C258EA" w14:paraId="73858C3B" w14:textId="77777777" w:rsidTr="00643DF0">
        <w:tc>
          <w:tcPr>
            <w:tcW w:w="3227" w:type="dxa"/>
          </w:tcPr>
          <w:p w14:paraId="6B335593" w14:textId="77777777" w:rsidR="0036050E" w:rsidRPr="00C258EA" w:rsidRDefault="0036050E" w:rsidP="00643DF0">
            <w:pPr>
              <w:rPr>
                <w:rFonts w:ascii="Times New Roman" w:hAnsi="Times New Roman" w:cs="Times New Roman"/>
              </w:rPr>
            </w:pPr>
          </w:p>
        </w:tc>
        <w:tc>
          <w:tcPr>
            <w:tcW w:w="1984" w:type="dxa"/>
          </w:tcPr>
          <w:p w14:paraId="2B66C8C3" w14:textId="77777777" w:rsidR="0036050E" w:rsidRPr="00C258EA" w:rsidRDefault="0036050E" w:rsidP="00643DF0">
            <w:pPr>
              <w:rPr>
                <w:rFonts w:ascii="Times New Roman" w:hAnsi="Times New Roman" w:cs="Times New Roman"/>
              </w:rPr>
            </w:pPr>
          </w:p>
        </w:tc>
        <w:tc>
          <w:tcPr>
            <w:tcW w:w="2127" w:type="dxa"/>
          </w:tcPr>
          <w:p w14:paraId="2130AB19" w14:textId="77777777" w:rsidR="0036050E" w:rsidRPr="00C258EA" w:rsidRDefault="0036050E" w:rsidP="00643DF0">
            <w:pPr>
              <w:rPr>
                <w:rFonts w:ascii="Times New Roman" w:hAnsi="Times New Roman" w:cs="Times New Roman"/>
              </w:rPr>
            </w:pPr>
          </w:p>
        </w:tc>
        <w:tc>
          <w:tcPr>
            <w:tcW w:w="1237" w:type="dxa"/>
          </w:tcPr>
          <w:p w14:paraId="632091C8" w14:textId="77777777" w:rsidR="0036050E" w:rsidRPr="00C258EA" w:rsidRDefault="0036050E" w:rsidP="00643DF0">
            <w:pPr>
              <w:rPr>
                <w:rFonts w:ascii="Times New Roman" w:hAnsi="Times New Roman" w:cs="Times New Roman"/>
              </w:rPr>
            </w:pPr>
          </w:p>
        </w:tc>
      </w:tr>
      <w:tr w:rsidR="0036050E" w:rsidRPr="00C258EA" w14:paraId="54D46F6A" w14:textId="77777777" w:rsidTr="00643DF0">
        <w:tc>
          <w:tcPr>
            <w:tcW w:w="3227" w:type="dxa"/>
          </w:tcPr>
          <w:p w14:paraId="6561A6D2"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 xml:space="preserve">Nuclear </w:t>
            </w:r>
            <w:proofErr w:type="spellStart"/>
            <w:r w:rsidRPr="00C258EA">
              <w:rPr>
                <w:rFonts w:ascii="Times New Roman" w:hAnsi="Times New Roman" w:cs="Times New Roman"/>
              </w:rPr>
              <w:t>atypia</w:t>
            </w:r>
            <w:proofErr w:type="spellEnd"/>
            <w:r w:rsidRPr="00C258EA">
              <w:rPr>
                <w:rFonts w:ascii="Times New Roman" w:hAnsi="Times New Roman" w:cs="Times New Roman"/>
              </w:rPr>
              <w:t xml:space="preserve"> in follow-up sample</w:t>
            </w:r>
          </w:p>
        </w:tc>
        <w:tc>
          <w:tcPr>
            <w:tcW w:w="1984" w:type="dxa"/>
          </w:tcPr>
          <w:p w14:paraId="6E49BC00" w14:textId="77777777" w:rsidR="0036050E" w:rsidRPr="00C258EA" w:rsidRDefault="0036050E" w:rsidP="00643DF0">
            <w:pPr>
              <w:rPr>
                <w:rFonts w:ascii="Times New Roman" w:hAnsi="Times New Roman" w:cs="Times New Roman"/>
              </w:rPr>
            </w:pPr>
          </w:p>
        </w:tc>
        <w:tc>
          <w:tcPr>
            <w:tcW w:w="2127" w:type="dxa"/>
          </w:tcPr>
          <w:p w14:paraId="1DBE338E" w14:textId="77777777" w:rsidR="0036050E" w:rsidRPr="00C258EA" w:rsidRDefault="0036050E" w:rsidP="00643DF0">
            <w:pPr>
              <w:rPr>
                <w:rFonts w:ascii="Times New Roman" w:hAnsi="Times New Roman" w:cs="Times New Roman"/>
              </w:rPr>
            </w:pPr>
          </w:p>
        </w:tc>
        <w:tc>
          <w:tcPr>
            <w:tcW w:w="1237" w:type="dxa"/>
          </w:tcPr>
          <w:p w14:paraId="24CC8343" w14:textId="77777777" w:rsidR="0036050E" w:rsidRPr="00C258EA" w:rsidRDefault="0036050E" w:rsidP="00643DF0">
            <w:pPr>
              <w:rPr>
                <w:rFonts w:ascii="Times New Roman" w:hAnsi="Times New Roman" w:cs="Times New Roman"/>
              </w:rPr>
            </w:pPr>
          </w:p>
        </w:tc>
      </w:tr>
      <w:tr w:rsidR="0036050E" w:rsidRPr="00C258EA" w14:paraId="71179E26" w14:textId="77777777" w:rsidTr="00643DF0">
        <w:tc>
          <w:tcPr>
            <w:tcW w:w="3227" w:type="dxa"/>
          </w:tcPr>
          <w:p w14:paraId="74C319AF" w14:textId="77777777" w:rsidR="0036050E" w:rsidRPr="00C258EA" w:rsidRDefault="0036050E" w:rsidP="00643DF0">
            <w:pPr>
              <w:ind w:left="142"/>
              <w:rPr>
                <w:rFonts w:ascii="Times New Roman" w:hAnsi="Times New Roman" w:cs="Times New Roman"/>
              </w:rPr>
            </w:pPr>
            <w:r w:rsidRPr="00C258EA">
              <w:rPr>
                <w:rFonts w:ascii="Times New Roman" w:hAnsi="Times New Roman" w:cs="Times New Roman"/>
              </w:rPr>
              <w:t>Yes (</w:t>
            </w:r>
            <w:r w:rsidRPr="00C258EA">
              <w:rPr>
                <w:rFonts w:ascii="Times New Roman" w:hAnsi="Times New Roman" w:cs="Times New Roman"/>
                <w:i/>
              </w:rPr>
              <w:t>n</w:t>
            </w:r>
            <w:r w:rsidRPr="00C258EA">
              <w:rPr>
                <w:rFonts w:ascii="Times New Roman" w:hAnsi="Times New Roman" w:cs="Times New Roman"/>
              </w:rPr>
              <w:t>=14)</w:t>
            </w:r>
          </w:p>
        </w:tc>
        <w:tc>
          <w:tcPr>
            <w:tcW w:w="1984" w:type="dxa"/>
          </w:tcPr>
          <w:p w14:paraId="7BBD4927"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11.5 (5.9–26.8)</w:t>
            </w:r>
          </w:p>
        </w:tc>
        <w:tc>
          <w:tcPr>
            <w:tcW w:w="2127" w:type="dxa"/>
          </w:tcPr>
          <w:p w14:paraId="27AC63AB"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1.18 (0.52–2.69)</w:t>
            </w:r>
          </w:p>
        </w:tc>
        <w:tc>
          <w:tcPr>
            <w:tcW w:w="1237" w:type="dxa"/>
          </w:tcPr>
          <w:p w14:paraId="1B784C66"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0.695</w:t>
            </w:r>
          </w:p>
        </w:tc>
      </w:tr>
      <w:tr w:rsidR="0036050E" w:rsidRPr="00C258EA" w14:paraId="51E9F519" w14:textId="77777777" w:rsidTr="00643DF0">
        <w:tc>
          <w:tcPr>
            <w:tcW w:w="3227" w:type="dxa"/>
          </w:tcPr>
          <w:p w14:paraId="321B0161" w14:textId="77777777" w:rsidR="0036050E" w:rsidRPr="00C258EA" w:rsidRDefault="0036050E" w:rsidP="00643DF0">
            <w:pPr>
              <w:ind w:left="142"/>
              <w:rPr>
                <w:rFonts w:ascii="Times New Roman" w:hAnsi="Times New Roman" w:cs="Times New Roman"/>
              </w:rPr>
            </w:pPr>
            <w:r w:rsidRPr="00C258EA">
              <w:rPr>
                <w:rFonts w:ascii="Times New Roman" w:hAnsi="Times New Roman" w:cs="Times New Roman"/>
              </w:rPr>
              <w:t>No (</w:t>
            </w:r>
            <w:r w:rsidRPr="00C258EA">
              <w:rPr>
                <w:rFonts w:ascii="Times New Roman" w:hAnsi="Times New Roman" w:cs="Times New Roman"/>
                <w:i/>
              </w:rPr>
              <w:t>n</w:t>
            </w:r>
            <w:r w:rsidRPr="00C258EA">
              <w:rPr>
                <w:rFonts w:ascii="Times New Roman" w:hAnsi="Times New Roman" w:cs="Times New Roman"/>
              </w:rPr>
              <w:t>=12)</w:t>
            </w:r>
          </w:p>
        </w:tc>
        <w:tc>
          <w:tcPr>
            <w:tcW w:w="1984" w:type="dxa"/>
          </w:tcPr>
          <w:p w14:paraId="5110BD87"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17.9 (1.8–40.8)</w:t>
            </w:r>
          </w:p>
        </w:tc>
        <w:tc>
          <w:tcPr>
            <w:tcW w:w="2127" w:type="dxa"/>
          </w:tcPr>
          <w:p w14:paraId="0A43D557"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Ref</w:t>
            </w:r>
          </w:p>
        </w:tc>
        <w:tc>
          <w:tcPr>
            <w:tcW w:w="1237" w:type="dxa"/>
          </w:tcPr>
          <w:p w14:paraId="675C104B" w14:textId="77777777" w:rsidR="0036050E" w:rsidRPr="00C258EA" w:rsidRDefault="0036050E" w:rsidP="00643DF0">
            <w:pPr>
              <w:rPr>
                <w:rFonts w:ascii="Times New Roman" w:hAnsi="Times New Roman" w:cs="Times New Roman"/>
              </w:rPr>
            </w:pPr>
          </w:p>
        </w:tc>
      </w:tr>
      <w:tr w:rsidR="0036050E" w:rsidRPr="00C258EA" w14:paraId="0241EBE1" w14:textId="77777777" w:rsidTr="00643DF0">
        <w:tc>
          <w:tcPr>
            <w:tcW w:w="3227" w:type="dxa"/>
          </w:tcPr>
          <w:p w14:paraId="176C907C" w14:textId="77777777" w:rsidR="0036050E" w:rsidRPr="00C258EA" w:rsidRDefault="0036050E" w:rsidP="00643DF0">
            <w:pPr>
              <w:rPr>
                <w:rFonts w:ascii="Times New Roman" w:hAnsi="Times New Roman" w:cs="Times New Roman"/>
              </w:rPr>
            </w:pPr>
          </w:p>
        </w:tc>
        <w:tc>
          <w:tcPr>
            <w:tcW w:w="1984" w:type="dxa"/>
          </w:tcPr>
          <w:p w14:paraId="3AEF94B4" w14:textId="77777777" w:rsidR="0036050E" w:rsidRPr="00C258EA" w:rsidRDefault="0036050E" w:rsidP="00643DF0">
            <w:pPr>
              <w:rPr>
                <w:rFonts w:ascii="Times New Roman" w:hAnsi="Times New Roman" w:cs="Times New Roman"/>
              </w:rPr>
            </w:pPr>
          </w:p>
        </w:tc>
        <w:tc>
          <w:tcPr>
            <w:tcW w:w="2127" w:type="dxa"/>
          </w:tcPr>
          <w:p w14:paraId="142884F3" w14:textId="77777777" w:rsidR="0036050E" w:rsidRPr="00C258EA" w:rsidRDefault="0036050E" w:rsidP="00643DF0">
            <w:pPr>
              <w:rPr>
                <w:rFonts w:ascii="Times New Roman" w:hAnsi="Times New Roman" w:cs="Times New Roman"/>
              </w:rPr>
            </w:pPr>
          </w:p>
        </w:tc>
        <w:tc>
          <w:tcPr>
            <w:tcW w:w="1237" w:type="dxa"/>
          </w:tcPr>
          <w:p w14:paraId="718123A9" w14:textId="77777777" w:rsidR="0036050E" w:rsidRPr="00C258EA" w:rsidRDefault="0036050E" w:rsidP="00643DF0">
            <w:pPr>
              <w:rPr>
                <w:rFonts w:ascii="Times New Roman" w:hAnsi="Times New Roman" w:cs="Times New Roman"/>
              </w:rPr>
            </w:pPr>
          </w:p>
        </w:tc>
      </w:tr>
      <w:tr w:rsidR="0036050E" w:rsidRPr="00C258EA" w14:paraId="5290CCCF" w14:textId="77777777" w:rsidTr="00643DF0">
        <w:tc>
          <w:tcPr>
            <w:tcW w:w="3227" w:type="dxa"/>
          </w:tcPr>
          <w:p w14:paraId="3602D65A"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Necrosis in follow-up sample</w:t>
            </w:r>
          </w:p>
        </w:tc>
        <w:tc>
          <w:tcPr>
            <w:tcW w:w="1984" w:type="dxa"/>
          </w:tcPr>
          <w:p w14:paraId="25E61CB5" w14:textId="77777777" w:rsidR="0036050E" w:rsidRPr="00C258EA" w:rsidRDefault="0036050E" w:rsidP="00643DF0">
            <w:pPr>
              <w:rPr>
                <w:rFonts w:ascii="Times New Roman" w:hAnsi="Times New Roman" w:cs="Times New Roman"/>
              </w:rPr>
            </w:pPr>
          </w:p>
        </w:tc>
        <w:tc>
          <w:tcPr>
            <w:tcW w:w="2127" w:type="dxa"/>
          </w:tcPr>
          <w:p w14:paraId="07E8065A" w14:textId="77777777" w:rsidR="0036050E" w:rsidRPr="00C258EA" w:rsidRDefault="0036050E" w:rsidP="00643DF0">
            <w:pPr>
              <w:rPr>
                <w:rFonts w:ascii="Times New Roman" w:hAnsi="Times New Roman" w:cs="Times New Roman"/>
              </w:rPr>
            </w:pPr>
          </w:p>
        </w:tc>
        <w:tc>
          <w:tcPr>
            <w:tcW w:w="1237" w:type="dxa"/>
          </w:tcPr>
          <w:p w14:paraId="6B485FD1" w14:textId="77777777" w:rsidR="0036050E" w:rsidRPr="00C258EA" w:rsidRDefault="0036050E" w:rsidP="00643DF0">
            <w:pPr>
              <w:rPr>
                <w:rFonts w:ascii="Times New Roman" w:hAnsi="Times New Roman" w:cs="Times New Roman"/>
              </w:rPr>
            </w:pPr>
          </w:p>
        </w:tc>
      </w:tr>
      <w:tr w:rsidR="0036050E" w:rsidRPr="00C258EA" w14:paraId="030F5DD1" w14:textId="77777777" w:rsidTr="00643DF0">
        <w:tc>
          <w:tcPr>
            <w:tcW w:w="3227" w:type="dxa"/>
          </w:tcPr>
          <w:p w14:paraId="180E1305" w14:textId="3FF53E25" w:rsidR="0036050E" w:rsidRPr="00C258EA" w:rsidRDefault="0036050E" w:rsidP="00643DF0">
            <w:pPr>
              <w:ind w:left="142"/>
              <w:rPr>
                <w:rFonts w:ascii="Times New Roman" w:hAnsi="Times New Roman" w:cs="Times New Roman"/>
              </w:rPr>
            </w:pPr>
            <w:r w:rsidRPr="00C258EA">
              <w:rPr>
                <w:rFonts w:ascii="Times New Roman" w:hAnsi="Times New Roman" w:cs="Times New Roman"/>
              </w:rPr>
              <w:t>Yes (</w:t>
            </w:r>
            <w:r w:rsidRPr="00C258EA">
              <w:rPr>
                <w:rFonts w:ascii="Times New Roman" w:hAnsi="Times New Roman" w:cs="Times New Roman"/>
                <w:i/>
              </w:rPr>
              <w:t>n</w:t>
            </w:r>
            <w:r w:rsidR="00727F66" w:rsidRPr="00C258EA">
              <w:rPr>
                <w:rFonts w:ascii="Times New Roman" w:hAnsi="Times New Roman" w:cs="Times New Roman"/>
              </w:rPr>
              <w:t>=8</w:t>
            </w:r>
            <w:r w:rsidRPr="00C258EA">
              <w:rPr>
                <w:rFonts w:ascii="Times New Roman" w:hAnsi="Times New Roman" w:cs="Times New Roman"/>
              </w:rPr>
              <w:t>)</w:t>
            </w:r>
          </w:p>
        </w:tc>
        <w:tc>
          <w:tcPr>
            <w:tcW w:w="1984" w:type="dxa"/>
          </w:tcPr>
          <w:p w14:paraId="6EFC56EB"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9.5 (2.8–17.4)</w:t>
            </w:r>
          </w:p>
        </w:tc>
        <w:tc>
          <w:tcPr>
            <w:tcW w:w="2127" w:type="dxa"/>
          </w:tcPr>
          <w:p w14:paraId="619F66BC"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2.41 (0.95–6.12)</w:t>
            </w:r>
          </w:p>
        </w:tc>
        <w:tc>
          <w:tcPr>
            <w:tcW w:w="1237" w:type="dxa"/>
          </w:tcPr>
          <w:p w14:paraId="3B3533C2"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0.065</w:t>
            </w:r>
          </w:p>
        </w:tc>
      </w:tr>
      <w:tr w:rsidR="0036050E" w:rsidRPr="00C258EA" w14:paraId="7F79972A" w14:textId="77777777" w:rsidTr="00643DF0">
        <w:tc>
          <w:tcPr>
            <w:tcW w:w="3227" w:type="dxa"/>
          </w:tcPr>
          <w:p w14:paraId="7F8EC136" w14:textId="3E5DF698" w:rsidR="0036050E" w:rsidRPr="00C258EA" w:rsidRDefault="0036050E" w:rsidP="00643DF0">
            <w:pPr>
              <w:ind w:left="142"/>
              <w:rPr>
                <w:rFonts w:ascii="Times New Roman" w:hAnsi="Times New Roman" w:cs="Times New Roman"/>
              </w:rPr>
            </w:pPr>
            <w:r w:rsidRPr="00C258EA">
              <w:rPr>
                <w:rFonts w:ascii="Times New Roman" w:hAnsi="Times New Roman" w:cs="Times New Roman"/>
              </w:rPr>
              <w:t>No (</w:t>
            </w:r>
            <w:r w:rsidRPr="00C258EA">
              <w:rPr>
                <w:rFonts w:ascii="Times New Roman" w:hAnsi="Times New Roman" w:cs="Times New Roman"/>
                <w:i/>
              </w:rPr>
              <w:t>n</w:t>
            </w:r>
            <w:r w:rsidRPr="00C258EA">
              <w:rPr>
                <w:rFonts w:ascii="Times New Roman" w:hAnsi="Times New Roman" w:cs="Times New Roman"/>
              </w:rPr>
              <w:t>=</w:t>
            </w:r>
            <w:r w:rsidR="00727F66" w:rsidRPr="00C258EA">
              <w:rPr>
                <w:rFonts w:ascii="Times New Roman" w:hAnsi="Times New Roman" w:cs="Times New Roman"/>
              </w:rPr>
              <w:t>1</w:t>
            </w:r>
            <w:r w:rsidRPr="00C258EA">
              <w:rPr>
                <w:rFonts w:ascii="Times New Roman" w:hAnsi="Times New Roman" w:cs="Times New Roman"/>
              </w:rPr>
              <w:t>8)</w:t>
            </w:r>
          </w:p>
        </w:tc>
        <w:tc>
          <w:tcPr>
            <w:tcW w:w="1984" w:type="dxa"/>
          </w:tcPr>
          <w:p w14:paraId="22972DDB"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22.2 (5.9–35.5)</w:t>
            </w:r>
          </w:p>
        </w:tc>
        <w:tc>
          <w:tcPr>
            <w:tcW w:w="2127" w:type="dxa"/>
          </w:tcPr>
          <w:p w14:paraId="1CC6F112"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Ref</w:t>
            </w:r>
          </w:p>
        </w:tc>
        <w:tc>
          <w:tcPr>
            <w:tcW w:w="1237" w:type="dxa"/>
          </w:tcPr>
          <w:p w14:paraId="171AF018" w14:textId="77777777" w:rsidR="0036050E" w:rsidRPr="00C258EA" w:rsidRDefault="0036050E" w:rsidP="00643DF0">
            <w:pPr>
              <w:rPr>
                <w:rFonts w:ascii="Times New Roman" w:hAnsi="Times New Roman" w:cs="Times New Roman"/>
              </w:rPr>
            </w:pPr>
          </w:p>
        </w:tc>
      </w:tr>
      <w:tr w:rsidR="0036050E" w:rsidRPr="00C258EA" w14:paraId="78B1C7E8" w14:textId="77777777" w:rsidTr="00643DF0">
        <w:tc>
          <w:tcPr>
            <w:tcW w:w="3227" w:type="dxa"/>
          </w:tcPr>
          <w:p w14:paraId="76A92D47" w14:textId="77777777" w:rsidR="0036050E" w:rsidRPr="00C258EA" w:rsidRDefault="0036050E" w:rsidP="00643DF0">
            <w:pPr>
              <w:rPr>
                <w:rFonts w:ascii="Times New Roman" w:hAnsi="Times New Roman" w:cs="Times New Roman"/>
              </w:rPr>
            </w:pPr>
          </w:p>
        </w:tc>
        <w:tc>
          <w:tcPr>
            <w:tcW w:w="1984" w:type="dxa"/>
          </w:tcPr>
          <w:p w14:paraId="533AE2EB" w14:textId="77777777" w:rsidR="0036050E" w:rsidRPr="00C258EA" w:rsidRDefault="0036050E" w:rsidP="00643DF0">
            <w:pPr>
              <w:rPr>
                <w:rFonts w:ascii="Times New Roman" w:hAnsi="Times New Roman" w:cs="Times New Roman"/>
              </w:rPr>
            </w:pPr>
          </w:p>
        </w:tc>
        <w:tc>
          <w:tcPr>
            <w:tcW w:w="2127" w:type="dxa"/>
          </w:tcPr>
          <w:p w14:paraId="15204164" w14:textId="77777777" w:rsidR="0036050E" w:rsidRPr="00C258EA" w:rsidRDefault="0036050E" w:rsidP="00643DF0">
            <w:pPr>
              <w:rPr>
                <w:rFonts w:ascii="Times New Roman" w:hAnsi="Times New Roman" w:cs="Times New Roman"/>
              </w:rPr>
            </w:pPr>
          </w:p>
        </w:tc>
        <w:tc>
          <w:tcPr>
            <w:tcW w:w="1237" w:type="dxa"/>
          </w:tcPr>
          <w:p w14:paraId="11796203" w14:textId="77777777" w:rsidR="0036050E" w:rsidRPr="00C258EA" w:rsidRDefault="0036050E" w:rsidP="00643DF0">
            <w:pPr>
              <w:rPr>
                <w:rFonts w:ascii="Times New Roman" w:hAnsi="Times New Roman" w:cs="Times New Roman"/>
              </w:rPr>
            </w:pPr>
          </w:p>
        </w:tc>
      </w:tr>
      <w:tr w:rsidR="0036050E" w:rsidRPr="00C258EA" w14:paraId="0E095414" w14:textId="77777777" w:rsidTr="00643DF0">
        <w:tc>
          <w:tcPr>
            <w:tcW w:w="3227" w:type="dxa"/>
          </w:tcPr>
          <w:p w14:paraId="574EFFAC"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Indication for second biopsy</w:t>
            </w:r>
          </w:p>
        </w:tc>
        <w:tc>
          <w:tcPr>
            <w:tcW w:w="1984" w:type="dxa"/>
          </w:tcPr>
          <w:p w14:paraId="0CB35503" w14:textId="77777777" w:rsidR="0036050E" w:rsidRPr="00C258EA" w:rsidRDefault="0036050E" w:rsidP="00643DF0">
            <w:pPr>
              <w:rPr>
                <w:rFonts w:ascii="Times New Roman" w:hAnsi="Times New Roman" w:cs="Times New Roman"/>
              </w:rPr>
            </w:pPr>
          </w:p>
        </w:tc>
        <w:tc>
          <w:tcPr>
            <w:tcW w:w="2127" w:type="dxa"/>
          </w:tcPr>
          <w:p w14:paraId="56D0FA4D" w14:textId="77777777" w:rsidR="0036050E" w:rsidRPr="00C258EA" w:rsidRDefault="0036050E" w:rsidP="00643DF0">
            <w:pPr>
              <w:rPr>
                <w:rFonts w:ascii="Times New Roman" w:hAnsi="Times New Roman" w:cs="Times New Roman"/>
              </w:rPr>
            </w:pPr>
          </w:p>
        </w:tc>
        <w:tc>
          <w:tcPr>
            <w:tcW w:w="1237" w:type="dxa"/>
          </w:tcPr>
          <w:p w14:paraId="2A1F4E3D" w14:textId="77777777" w:rsidR="0036050E" w:rsidRPr="00C258EA" w:rsidRDefault="0036050E" w:rsidP="00643DF0">
            <w:pPr>
              <w:rPr>
                <w:rFonts w:ascii="Times New Roman" w:hAnsi="Times New Roman" w:cs="Times New Roman"/>
              </w:rPr>
            </w:pPr>
          </w:p>
        </w:tc>
      </w:tr>
      <w:tr w:rsidR="0036050E" w:rsidRPr="00C258EA" w14:paraId="1614FBEA" w14:textId="77777777" w:rsidTr="00643DF0">
        <w:tc>
          <w:tcPr>
            <w:tcW w:w="3227" w:type="dxa"/>
          </w:tcPr>
          <w:p w14:paraId="16EB358C" w14:textId="77777777" w:rsidR="0036050E" w:rsidRPr="00C258EA" w:rsidRDefault="0036050E" w:rsidP="00643DF0">
            <w:pPr>
              <w:ind w:left="142"/>
              <w:rPr>
                <w:rFonts w:ascii="Times New Roman" w:hAnsi="Times New Roman" w:cs="Times New Roman"/>
              </w:rPr>
            </w:pPr>
            <w:r w:rsidRPr="00C258EA">
              <w:rPr>
                <w:rFonts w:ascii="Times New Roman" w:hAnsi="Times New Roman" w:cs="Times New Roman"/>
              </w:rPr>
              <w:t>Change in disease behavior (</w:t>
            </w:r>
            <w:r w:rsidRPr="00C258EA">
              <w:rPr>
                <w:rFonts w:ascii="Times New Roman" w:hAnsi="Times New Roman" w:cs="Times New Roman"/>
                <w:i/>
              </w:rPr>
              <w:t>n</w:t>
            </w:r>
            <w:r w:rsidRPr="00C258EA">
              <w:rPr>
                <w:rFonts w:ascii="Times New Roman" w:hAnsi="Times New Roman" w:cs="Times New Roman"/>
              </w:rPr>
              <w:t>=25)</w:t>
            </w:r>
          </w:p>
        </w:tc>
        <w:tc>
          <w:tcPr>
            <w:tcW w:w="1984" w:type="dxa"/>
          </w:tcPr>
          <w:p w14:paraId="5871EAC3"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12.9 (8.8–25.0)</w:t>
            </w:r>
          </w:p>
        </w:tc>
        <w:tc>
          <w:tcPr>
            <w:tcW w:w="2127" w:type="dxa"/>
          </w:tcPr>
          <w:p w14:paraId="25482FCE"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4.17 (1.90–9.13)</w:t>
            </w:r>
          </w:p>
        </w:tc>
        <w:tc>
          <w:tcPr>
            <w:tcW w:w="1237" w:type="dxa"/>
          </w:tcPr>
          <w:p w14:paraId="5D5EBA11"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&lt;0.001</w:t>
            </w:r>
          </w:p>
        </w:tc>
      </w:tr>
      <w:tr w:rsidR="0036050E" w:rsidRPr="00C258EA" w14:paraId="006617EC" w14:textId="77777777" w:rsidTr="00643DF0">
        <w:tc>
          <w:tcPr>
            <w:tcW w:w="3227" w:type="dxa"/>
          </w:tcPr>
          <w:p w14:paraId="3E10FC67" w14:textId="77777777" w:rsidR="0036050E" w:rsidRPr="00C258EA" w:rsidRDefault="0036050E" w:rsidP="00643DF0">
            <w:pPr>
              <w:ind w:left="142"/>
              <w:rPr>
                <w:rFonts w:ascii="Times New Roman" w:hAnsi="Times New Roman" w:cs="Times New Roman"/>
              </w:rPr>
            </w:pPr>
            <w:r w:rsidRPr="00C258EA">
              <w:rPr>
                <w:rFonts w:ascii="Times New Roman" w:hAnsi="Times New Roman" w:cs="Times New Roman"/>
              </w:rPr>
              <w:t>No change in disease behavior (</w:t>
            </w:r>
            <w:r w:rsidRPr="00C258EA">
              <w:rPr>
                <w:rFonts w:ascii="Times New Roman" w:hAnsi="Times New Roman" w:cs="Times New Roman"/>
                <w:i/>
              </w:rPr>
              <w:t>n</w:t>
            </w:r>
            <w:r w:rsidRPr="00C258EA">
              <w:rPr>
                <w:rFonts w:ascii="Times New Roman" w:hAnsi="Times New Roman" w:cs="Times New Roman"/>
              </w:rPr>
              <w:t>=21)</w:t>
            </w:r>
          </w:p>
        </w:tc>
        <w:tc>
          <w:tcPr>
            <w:tcW w:w="1984" w:type="dxa"/>
          </w:tcPr>
          <w:p w14:paraId="2CAFBE55"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51.6 (20.9–NR)</w:t>
            </w:r>
          </w:p>
        </w:tc>
        <w:tc>
          <w:tcPr>
            <w:tcW w:w="2127" w:type="dxa"/>
          </w:tcPr>
          <w:p w14:paraId="6D257E38" w14:textId="77777777" w:rsidR="0036050E" w:rsidRPr="00C258EA" w:rsidRDefault="0036050E" w:rsidP="00643DF0">
            <w:pPr>
              <w:rPr>
                <w:rFonts w:ascii="Times New Roman" w:hAnsi="Times New Roman" w:cs="Times New Roman"/>
              </w:rPr>
            </w:pPr>
            <w:r w:rsidRPr="00C258EA">
              <w:rPr>
                <w:rFonts w:ascii="Times New Roman" w:hAnsi="Times New Roman" w:cs="Times New Roman"/>
              </w:rPr>
              <w:t>Ref</w:t>
            </w:r>
          </w:p>
        </w:tc>
        <w:tc>
          <w:tcPr>
            <w:tcW w:w="1237" w:type="dxa"/>
          </w:tcPr>
          <w:p w14:paraId="52682527" w14:textId="77777777" w:rsidR="0036050E" w:rsidRPr="00C258EA" w:rsidRDefault="0036050E" w:rsidP="00643DF0">
            <w:pPr>
              <w:rPr>
                <w:rFonts w:ascii="Times New Roman" w:hAnsi="Times New Roman" w:cs="Times New Roman"/>
              </w:rPr>
            </w:pPr>
          </w:p>
        </w:tc>
      </w:tr>
    </w:tbl>
    <w:p w14:paraId="67B06889" w14:textId="77777777" w:rsidR="0036050E" w:rsidRPr="00C258EA" w:rsidRDefault="0036050E" w:rsidP="0036050E">
      <w:pPr>
        <w:spacing w:line="480" w:lineRule="auto"/>
        <w:rPr>
          <w:rFonts w:ascii="Times New Roman" w:hAnsi="Times New Roman" w:cs="Times New Roman"/>
        </w:rPr>
      </w:pPr>
      <w:r w:rsidRPr="00C258EA">
        <w:rPr>
          <w:rFonts w:ascii="Times New Roman" w:hAnsi="Times New Roman" w:cs="Times New Roman"/>
        </w:rPr>
        <w:t>Abbreviations: CI, Confidence interval; G3, grade 3 neuroendocrine tumor; HR, Hazard ratio; NA, Not available; NR, Not reached; Ref, Reference.</w:t>
      </w:r>
      <w:r w:rsidRPr="00C258EA">
        <w:rPr>
          <w:rFonts w:ascii="Times New Roman" w:hAnsi="Times New Roman" w:cs="Times New Roman"/>
        </w:rPr>
        <w:br w:type="page"/>
      </w:r>
    </w:p>
    <w:p w14:paraId="75A74BA0" w14:textId="77777777" w:rsidR="0036050E" w:rsidRPr="00C258EA" w:rsidRDefault="0036050E" w:rsidP="0036050E">
      <w:pPr>
        <w:rPr>
          <w:rFonts w:ascii="Times New Roman" w:hAnsi="Times New Roman" w:cs="Times New Roman"/>
          <w:b/>
        </w:rPr>
      </w:pPr>
      <w:proofErr w:type="spellStart"/>
      <w:proofErr w:type="gramStart"/>
      <w:r w:rsidRPr="00C258EA">
        <w:rPr>
          <w:rFonts w:ascii="Times New Roman" w:hAnsi="Times New Roman" w:cs="Times New Roman"/>
          <w:b/>
        </w:rPr>
        <w:t>sTable</w:t>
      </w:r>
      <w:proofErr w:type="spellEnd"/>
      <w:proofErr w:type="gramEnd"/>
      <w:r w:rsidRPr="00C258EA">
        <w:rPr>
          <w:rFonts w:ascii="Times New Roman" w:hAnsi="Times New Roman" w:cs="Times New Roman"/>
          <w:b/>
        </w:rPr>
        <w:t xml:space="preserve"> 6</w:t>
      </w:r>
      <w:r w:rsidRPr="00C258EA">
        <w:rPr>
          <w:rFonts w:ascii="Times New Roman" w:hAnsi="Times New Roman" w:cs="Times New Roman"/>
        </w:rPr>
        <w:t xml:space="preserve"> Patient characteristics in patients with NET G3 progression versus patients without NET grade 3 progression.</w:t>
      </w:r>
    </w:p>
    <w:tbl>
      <w:tblPr>
        <w:tblStyle w:val="TableGrid"/>
        <w:tblW w:w="8651" w:type="dxa"/>
        <w:tblLook w:val="04A0" w:firstRow="1" w:lastRow="0" w:firstColumn="1" w:lastColumn="0" w:noHBand="0" w:noVBand="1"/>
      </w:tblPr>
      <w:tblGrid>
        <w:gridCol w:w="1703"/>
        <w:gridCol w:w="1524"/>
        <w:gridCol w:w="1703"/>
        <w:gridCol w:w="2266"/>
        <w:gridCol w:w="1455"/>
      </w:tblGrid>
      <w:tr w:rsidR="0036050E" w:rsidRPr="00C258EA" w14:paraId="7C7FCCA3" w14:textId="77777777" w:rsidTr="00643DF0">
        <w:tc>
          <w:tcPr>
            <w:tcW w:w="1703" w:type="dxa"/>
            <w:vAlign w:val="center"/>
          </w:tcPr>
          <w:p w14:paraId="2E0D2B04" w14:textId="77777777" w:rsidR="0036050E" w:rsidRPr="00C258EA" w:rsidRDefault="0036050E" w:rsidP="00643DF0">
            <w:pPr>
              <w:rPr>
                <w:rFonts w:ascii="Times New Roman" w:hAnsi="Times New Roman" w:cs="Times New Roman"/>
                <w:b/>
                <w:sz w:val="20"/>
                <w:szCs w:val="20"/>
              </w:rPr>
            </w:pPr>
          </w:p>
        </w:tc>
        <w:tc>
          <w:tcPr>
            <w:tcW w:w="1524" w:type="dxa"/>
            <w:vAlign w:val="center"/>
          </w:tcPr>
          <w:p w14:paraId="4A3815E3"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bCs/>
                <w:kern w:val="24"/>
                <w:sz w:val="20"/>
                <w:szCs w:val="20"/>
              </w:rPr>
              <w:t>No NET G3 progression (</w:t>
            </w:r>
            <w:r w:rsidRPr="00C258EA">
              <w:rPr>
                <w:rFonts w:ascii="Times New Roman" w:hAnsi="Times New Roman" w:cs="Times New Roman"/>
                <w:bCs/>
                <w:i/>
                <w:kern w:val="24"/>
                <w:sz w:val="20"/>
                <w:szCs w:val="20"/>
              </w:rPr>
              <w:t>n</w:t>
            </w:r>
            <w:r w:rsidRPr="00C258EA">
              <w:rPr>
                <w:rFonts w:ascii="Times New Roman" w:hAnsi="Times New Roman" w:cs="Times New Roman"/>
                <w:bCs/>
                <w:kern w:val="24"/>
                <w:sz w:val="20"/>
                <w:szCs w:val="20"/>
              </w:rPr>
              <w:t>=20)</w:t>
            </w:r>
          </w:p>
        </w:tc>
        <w:tc>
          <w:tcPr>
            <w:tcW w:w="1703" w:type="dxa"/>
            <w:vAlign w:val="center"/>
          </w:tcPr>
          <w:p w14:paraId="64AC92B5"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bCs/>
                <w:kern w:val="24"/>
                <w:sz w:val="20"/>
                <w:szCs w:val="20"/>
              </w:rPr>
              <w:t>NET G3 progression (</w:t>
            </w:r>
            <w:r w:rsidRPr="00C258EA">
              <w:rPr>
                <w:rFonts w:ascii="Times New Roman" w:hAnsi="Times New Roman" w:cs="Times New Roman"/>
                <w:bCs/>
                <w:i/>
                <w:kern w:val="24"/>
                <w:sz w:val="20"/>
                <w:szCs w:val="20"/>
              </w:rPr>
              <w:t>n</w:t>
            </w:r>
            <w:r w:rsidRPr="00C258EA">
              <w:rPr>
                <w:rFonts w:ascii="Times New Roman" w:hAnsi="Times New Roman" w:cs="Times New Roman"/>
                <w:bCs/>
                <w:kern w:val="24"/>
                <w:sz w:val="20"/>
                <w:szCs w:val="20"/>
              </w:rPr>
              <w:t>=24)</w:t>
            </w:r>
          </w:p>
        </w:tc>
        <w:tc>
          <w:tcPr>
            <w:tcW w:w="2266" w:type="dxa"/>
            <w:vAlign w:val="center"/>
          </w:tcPr>
          <w:p w14:paraId="4B852383"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bCs/>
                <w:kern w:val="24"/>
                <w:sz w:val="20"/>
                <w:szCs w:val="20"/>
              </w:rPr>
              <w:t>OR for prediction of progression into NET G3 (logistic regression (OR, 95% CI)</w:t>
            </w:r>
          </w:p>
        </w:tc>
        <w:tc>
          <w:tcPr>
            <w:tcW w:w="1455" w:type="dxa"/>
            <w:vAlign w:val="center"/>
          </w:tcPr>
          <w:p w14:paraId="4DB038CC" w14:textId="77777777" w:rsidR="0036050E" w:rsidRPr="00C258EA" w:rsidRDefault="0036050E" w:rsidP="00643DF0">
            <w:pPr>
              <w:rPr>
                <w:rFonts w:ascii="Times New Roman" w:hAnsi="Times New Roman" w:cs="Times New Roman"/>
                <w:b/>
                <w:sz w:val="20"/>
                <w:szCs w:val="20"/>
              </w:rPr>
            </w:pPr>
            <w:r w:rsidRPr="00C258EA">
              <w:rPr>
                <w:rFonts w:ascii="Times New Roman" w:eastAsia="MS Mincho" w:hAnsi="Times New Roman" w:cs="Times New Roman"/>
                <w:bCs/>
                <w:kern w:val="24"/>
                <w:sz w:val="20"/>
                <w:szCs w:val="20"/>
              </w:rPr>
              <w:t>Multivariate logistic regression (OR (95% CI))</w:t>
            </w:r>
          </w:p>
        </w:tc>
      </w:tr>
      <w:tr w:rsidR="0036050E" w:rsidRPr="00C258EA" w14:paraId="676D3B80" w14:textId="77777777" w:rsidTr="00643DF0">
        <w:tc>
          <w:tcPr>
            <w:tcW w:w="1703" w:type="dxa"/>
            <w:vAlign w:val="center"/>
          </w:tcPr>
          <w:p w14:paraId="4DDA83F2"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bCs/>
                <w:kern w:val="24"/>
                <w:sz w:val="20"/>
                <w:szCs w:val="20"/>
              </w:rPr>
              <w:t>Median age at diagnosis, years (range)</w:t>
            </w:r>
          </w:p>
        </w:tc>
        <w:tc>
          <w:tcPr>
            <w:tcW w:w="1524" w:type="dxa"/>
            <w:vAlign w:val="center"/>
          </w:tcPr>
          <w:p w14:paraId="5304C922"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57 (31–73)</w:t>
            </w:r>
          </w:p>
        </w:tc>
        <w:tc>
          <w:tcPr>
            <w:tcW w:w="1703" w:type="dxa"/>
            <w:vAlign w:val="center"/>
          </w:tcPr>
          <w:p w14:paraId="79A4FE9B"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57 (42–70)</w:t>
            </w:r>
          </w:p>
        </w:tc>
        <w:tc>
          <w:tcPr>
            <w:tcW w:w="2266" w:type="dxa"/>
            <w:vAlign w:val="center"/>
          </w:tcPr>
          <w:p w14:paraId="49C877AB"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 xml:space="preserve">1.01 (0.95–1.07);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=0.697 </w:t>
            </w:r>
          </w:p>
        </w:tc>
        <w:tc>
          <w:tcPr>
            <w:tcW w:w="1455" w:type="dxa"/>
          </w:tcPr>
          <w:p w14:paraId="2AA3C299"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b/>
                <w:sz w:val="20"/>
                <w:szCs w:val="20"/>
              </w:rPr>
              <w:t>-</w:t>
            </w:r>
          </w:p>
        </w:tc>
      </w:tr>
      <w:tr w:rsidR="0036050E" w:rsidRPr="00C258EA" w14:paraId="1C5ADFAB" w14:textId="77777777" w:rsidTr="00643DF0">
        <w:tc>
          <w:tcPr>
            <w:tcW w:w="1703" w:type="dxa"/>
            <w:vAlign w:val="center"/>
          </w:tcPr>
          <w:p w14:paraId="6490881F"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sz w:val="20"/>
                <w:szCs w:val="20"/>
              </w:rPr>
              <w:t>Gender</w:t>
            </w:r>
          </w:p>
        </w:tc>
        <w:tc>
          <w:tcPr>
            <w:tcW w:w="1524" w:type="dxa"/>
          </w:tcPr>
          <w:p w14:paraId="17C2F950" w14:textId="77777777" w:rsidR="0036050E" w:rsidRPr="00C258EA" w:rsidRDefault="0036050E" w:rsidP="00643DF0">
            <w:pPr>
              <w:rPr>
                <w:rFonts w:ascii="Times New Roman" w:hAnsi="Times New Roman" w:cs="Times New Roman"/>
                <w:b/>
                <w:sz w:val="20"/>
                <w:szCs w:val="20"/>
              </w:rPr>
            </w:pPr>
          </w:p>
        </w:tc>
        <w:tc>
          <w:tcPr>
            <w:tcW w:w="1703" w:type="dxa"/>
          </w:tcPr>
          <w:p w14:paraId="2DE322B1" w14:textId="77777777" w:rsidR="0036050E" w:rsidRPr="00C258EA" w:rsidRDefault="0036050E" w:rsidP="00643DF0">
            <w:pPr>
              <w:rPr>
                <w:rFonts w:ascii="Times New Roman" w:hAnsi="Times New Roman" w:cs="Times New Roman"/>
                <w:b/>
                <w:sz w:val="20"/>
                <w:szCs w:val="20"/>
              </w:rPr>
            </w:pPr>
          </w:p>
        </w:tc>
        <w:tc>
          <w:tcPr>
            <w:tcW w:w="2266" w:type="dxa"/>
          </w:tcPr>
          <w:p w14:paraId="7DB6B5B7" w14:textId="77777777" w:rsidR="0036050E" w:rsidRPr="00C258EA" w:rsidRDefault="0036050E" w:rsidP="00643DF0">
            <w:pPr>
              <w:rPr>
                <w:rFonts w:ascii="Times New Roman" w:hAnsi="Times New Roman" w:cs="Times New Roman"/>
                <w:b/>
                <w:sz w:val="20"/>
                <w:szCs w:val="20"/>
              </w:rPr>
            </w:pPr>
          </w:p>
        </w:tc>
        <w:tc>
          <w:tcPr>
            <w:tcW w:w="1455" w:type="dxa"/>
          </w:tcPr>
          <w:p w14:paraId="65663061" w14:textId="77777777" w:rsidR="0036050E" w:rsidRPr="00C258EA" w:rsidRDefault="0036050E" w:rsidP="00643DF0">
            <w:pPr>
              <w:rPr>
                <w:rFonts w:ascii="Times New Roman" w:hAnsi="Times New Roman" w:cs="Times New Roman"/>
                <w:b/>
                <w:sz w:val="20"/>
                <w:szCs w:val="20"/>
              </w:rPr>
            </w:pPr>
          </w:p>
        </w:tc>
      </w:tr>
      <w:tr w:rsidR="0036050E" w:rsidRPr="00C258EA" w14:paraId="1B36DF18" w14:textId="77777777" w:rsidTr="00643DF0">
        <w:tc>
          <w:tcPr>
            <w:tcW w:w="1703" w:type="dxa"/>
            <w:vAlign w:val="center"/>
          </w:tcPr>
          <w:p w14:paraId="65436235" w14:textId="77777777" w:rsidR="0036050E" w:rsidRPr="00C258EA" w:rsidRDefault="0036050E" w:rsidP="00643DF0">
            <w:pPr>
              <w:ind w:firstLine="142"/>
              <w:rPr>
                <w:rFonts w:ascii="Times New Roman" w:hAnsi="Times New Roman" w:cs="Times New Roman"/>
                <w:b/>
                <w:sz w:val="20"/>
                <w:szCs w:val="20"/>
              </w:rPr>
            </w:pPr>
            <w:r w:rsidRPr="00C258EA">
              <w:rPr>
                <w:rFonts w:ascii="Times New Roman" w:hAnsi="Times New Roman" w:cs="Times New Roman"/>
                <w:bCs/>
                <w:kern w:val="24"/>
                <w:sz w:val="20"/>
                <w:szCs w:val="20"/>
              </w:rPr>
              <w:t>Male</w:t>
            </w:r>
          </w:p>
        </w:tc>
        <w:tc>
          <w:tcPr>
            <w:tcW w:w="1524" w:type="dxa"/>
            <w:vAlign w:val="center"/>
          </w:tcPr>
          <w:p w14:paraId="651B8935"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14 (70%)</w:t>
            </w:r>
          </w:p>
        </w:tc>
        <w:tc>
          <w:tcPr>
            <w:tcW w:w="1703" w:type="dxa"/>
            <w:vAlign w:val="center"/>
          </w:tcPr>
          <w:p w14:paraId="6C6B9D0E"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14 (58.3%)</w:t>
            </w:r>
          </w:p>
        </w:tc>
        <w:tc>
          <w:tcPr>
            <w:tcW w:w="2266" w:type="dxa"/>
            <w:vAlign w:val="center"/>
          </w:tcPr>
          <w:p w14:paraId="77750404"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 xml:space="preserve"> 0.70 (0.21–2.36);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=0.566</w:t>
            </w:r>
          </w:p>
        </w:tc>
        <w:tc>
          <w:tcPr>
            <w:tcW w:w="1455" w:type="dxa"/>
          </w:tcPr>
          <w:p w14:paraId="5F27F6E0"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b/>
                <w:sz w:val="20"/>
                <w:szCs w:val="20"/>
              </w:rPr>
              <w:t>-</w:t>
            </w:r>
          </w:p>
        </w:tc>
      </w:tr>
      <w:tr w:rsidR="0036050E" w:rsidRPr="00C258EA" w14:paraId="18E78BB9" w14:textId="77777777" w:rsidTr="00643DF0">
        <w:tc>
          <w:tcPr>
            <w:tcW w:w="1703" w:type="dxa"/>
            <w:vAlign w:val="center"/>
          </w:tcPr>
          <w:p w14:paraId="23196EE4" w14:textId="77777777" w:rsidR="0036050E" w:rsidRPr="00C258EA" w:rsidRDefault="0036050E" w:rsidP="00643DF0">
            <w:pPr>
              <w:ind w:firstLine="142"/>
              <w:rPr>
                <w:rFonts w:ascii="Times New Roman" w:hAnsi="Times New Roman" w:cs="Times New Roman"/>
                <w:b/>
                <w:sz w:val="20"/>
                <w:szCs w:val="20"/>
              </w:rPr>
            </w:pPr>
            <w:r w:rsidRPr="00C258EA">
              <w:rPr>
                <w:rFonts w:ascii="Times New Roman" w:hAnsi="Times New Roman" w:cs="Times New Roman"/>
                <w:bCs/>
                <w:kern w:val="24"/>
                <w:sz w:val="20"/>
                <w:szCs w:val="20"/>
              </w:rPr>
              <w:t>Female</w:t>
            </w:r>
          </w:p>
        </w:tc>
        <w:tc>
          <w:tcPr>
            <w:tcW w:w="1524" w:type="dxa"/>
            <w:vAlign w:val="center"/>
          </w:tcPr>
          <w:p w14:paraId="21BFEC22"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6 (30%)</w:t>
            </w:r>
          </w:p>
        </w:tc>
        <w:tc>
          <w:tcPr>
            <w:tcW w:w="1703" w:type="dxa"/>
            <w:vAlign w:val="center"/>
          </w:tcPr>
          <w:p w14:paraId="5AD29CE1"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8 (41.7%)</w:t>
            </w:r>
          </w:p>
        </w:tc>
        <w:tc>
          <w:tcPr>
            <w:tcW w:w="2266" w:type="dxa"/>
            <w:vAlign w:val="center"/>
          </w:tcPr>
          <w:p w14:paraId="5CD95D58"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 1 (Ref)</w:t>
            </w:r>
          </w:p>
        </w:tc>
        <w:tc>
          <w:tcPr>
            <w:tcW w:w="1455" w:type="dxa"/>
          </w:tcPr>
          <w:p w14:paraId="19DEF19B" w14:textId="77777777" w:rsidR="0036050E" w:rsidRPr="00C258EA" w:rsidRDefault="0036050E" w:rsidP="00643DF0">
            <w:pPr>
              <w:rPr>
                <w:rFonts w:ascii="Times New Roman" w:hAnsi="Times New Roman" w:cs="Times New Roman"/>
                <w:b/>
                <w:sz w:val="20"/>
                <w:szCs w:val="20"/>
              </w:rPr>
            </w:pPr>
          </w:p>
        </w:tc>
      </w:tr>
      <w:tr w:rsidR="0036050E" w:rsidRPr="00C258EA" w14:paraId="4CEFF8C8" w14:textId="77777777" w:rsidTr="00643DF0">
        <w:tc>
          <w:tcPr>
            <w:tcW w:w="1703" w:type="dxa"/>
            <w:vAlign w:val="center"/>
          </w:tcPr>
          <w:p w14:paraId="05E7E578"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sz w:val="20"/>
                <w:szCs w:val="20"/>
              </w:rPr>
              <w:t>Hormonal syndrome</w:t>
            </w:r>
          </w:p>
        </w:tc>
        <w:tc>
          <w:tcPr>
            <w:tcW w:w="1524" w:type="dxa"/>
          </w:tcPr>
          <w:p w14:paraId="2C5AD4FB" w14:textId="77777777" w:rsidR="0036050E" w:rsidRPr="00C258EA" w:rsidRDefault="0036050E" w:rsidP="00643DF0">
            <w:pPr>
              <w:rPr>
                <w:rFonts w:ascii="Times New Roman" w:hAnsi="Times New Roman" w:cs="Times New Roman"/>
                <w:b/>
                <w:sz w:val="20"/>
                <w:szCs w:val="20"/>
              </w:rPr>
            </w:pPr>
          </w:p>
        </w:tc>
        <w:tc>
          <w:tcPr>
            <w:tcW w:w="1703" w:type="dxa"/>
          </w:tcPr>
          <w:p w14:paraId="33A9775A" w14:textId="77777777" w:rsidR="0036050E" w:rsidRPr="00C258EA" w:rsidRDefault="0036050E" w:rsidP="00643DF0">
            <w:pPr>
              <w:rPr>
                <w:rFonts w:ascii="Times New Roman" w:hAnsi="Times New Roman" w:cs="Times New Roman"/>
                <w:b/>
                <w:sz w:val="20"/>
                <w:szCs w:val="20"/>
              </w:rPr>
            </w:pPr>
          </w:p>
        </w:tc>
        <w:tc>
          <w:tcPr>
            <w:tcW w:w="2266" w:type="dxa"/>
          </w:tcPr>
          <w:p w14:paraId="07548D31" w14:textId="77777777" w:rsidR="0036050E" w:rsidRPr="00C258EA" w:rsidRDefault="0036050E" w:rsidP="00643DF0">
            <w:pPr>
              <w:rPr>
                <w:rFonts w:ascii="Times New Roman" w:hAnsi="Times New Roman" w:cs="Times New Roman"/>
                <w:b/>
                <w:sz w:val="20"/>
                <w:szCs w:val="20"/>
              </w:rPr>
            </w:pPr>
          </w:p>
        </w:tc>
        <w:tc>
          <w:tcPr>
            <w:tcW w:w="1455" w:type="dxa"/>
          </w:tcPr>
          <w:p w14:paraId="51B94DF1" w14:textId="77777777" w:rsidR="0036050E" w:rsidRPr="00C258EA" w:rsidRDefault="0036050E" w:rsidP="00643DF0">
            <w:pPr>
              <w:rPr>
                <w:rFonts w:ascii="Times New Roman" w:hAnsi="Times New Roman" w:cs="Times New Roman"/>
                <w:b/>
                <w:sz w:val="20"/>
                <w:szCs w:val="20"/>
              </w:rPr>
            </w:pPr>
          </w:p>
        </w:tc>
      </w:tr>
      <w:tr w:rsidR="0036050E" w:rsidRPr="00C258EA" w14:paraId="0F9AD377" w14:textId="77777777" w:rsidTr="00643DF0">
        <w:tc>
          <w:tcPr>
            <w:tcW w:w="1703" w:type="dxa"/>
            <w:vAlign w:val="center"/>
          </w:tcPr>
          <w:p w14:paraId="2D27EF84" w14:textId="77777777" w:rsidR="0036050E" w:rsidRPr="00C258EA" w:rsidRDefault="0036050E" w:rsidP="00643DF0">
            <w:pPr>
              <w:ind w:firstLine="142"/>
              <w:rPr>
                <w:rFonts w:ascii="Times New Roman" w:hAnsi="Times New Roman" w:cs="Times New Roman"/>
                <w:b/>
                <w:sz w:val="20"/>
                <w:szCs w:val="20"/>
              </w:rPr>
            </w:pPr>
            <w:r w:rsidRPr="00C258EA">
              <w:rPr>
                <w:rFonts w:ascii="Times New Roman" w:hAnsi="Times New Roman" w:cs="Times New Roman"/>
                <w:bCs/>
                <w:kern w:val="24"/>
                <w:sz w:val="20"/>
                <w:szCs w:val="20"/>
              </w:rPr>
              <w:t>Functioning</w:t>
            </w:r>
          </w:p>
        </w:tc>
        <w:tc>
          <w:tcPr>
            <w:tcW w:w="1524" w:type="dxa"/>
            <w:vAlign w:val="center"/>
          </w:tcPr>
          <w:p w14:paraId="701C7324"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6 (30%)</w:t>
            </w:r>
          </w:p>
        </w:tc>
        <w:tc>
          <w:tcPr>
            <w:tcW w:w="1703" w:type="dxa"/>
            <w:vAlign w:val="center"/>
          </w:tcPr>
          <w:p w14:paraId="0E7A2444"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6 (25%)</w:t>
            </w:r>
          </w:p>
        </w:tc>
        <w:tc>
          <w:tcPr>
            <w:tcW w:w="2266" w:type="dxa"/>
            <w:vAlign w:val="center"/>
          </w:tcPr>
          <w:p w14:paraId="7ECE05AA"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 xml:space="preserve"> 0.83 (0.22–3.12);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=0.787</w:t>
            </w:r>
          </w:p>
        </w:tc>
        <w:tc>
          <w:tcPr>
            <w:tcW w:w="1455" w:type="dxa"/>
            <w:vAlign w:val="center"/>
          </w:tcPr>
          <w:p w14:paraId="40BC371B" w14:textId="77777777" w:rsidR="0036050E" w:rsidRPr="00C258EA" w:rsidRDefault="0036050E" w:rsidP="00643DF0">
            <w:pPr>
              <w:rPr>
                <w:rFonts w:ascii="Times New Roman" w:hAnsi="Times New Roman" w:cs="Times New Roman"/>
                <w:b/>
                <w:sz w:val="20"/>
                <w:szCs w:val="20"/>
              </w:rPr>
            </w:pPr>
            <w:r w:rsidRPr="00C258EA">
              <w:rPr>
                <w:rFonts w:ascii="Times New Roman" w:eastAsia="MS Mincho" w:hAnsi="Times New Roman" w:cs="Times New Roman"/>
                <w:kern w:val="24"/>
                <w:sz w:val="20"/>
                <w:szCs w:val="20"/>
              </w:rPr>
              <w:t>-</w:t>
            </w:r>
          </w:p>
        </w:tc>
      </w:tr>
      <w:tr w:rsidR="0036050E" w:rsidRPr="00C258EA" w14:paraId="6873BD45" w14:textId="77777777" w:rsidTr="00643DF0">
        <w:tc>
          <w:tcPr>
            <w:tcW w:w="1703" w:type="dxa"/>
            <w:vAlign w:val="center"/>
          </w:tcPr>
          <w:p w14:paraId="41AF28BD" w14:textId="77777777" w:rsidR="0036050E" w:rsidRPr="00C258EA" w:rsidRDefault="0036050E" w:rsidP="00643DF0">
            <w:pPr>
              <w:ind w:firstLine="142"/>
              <w:rPr>
                <w:rFonts w:ascii="Times New Roman" w:hAnsi="Times New Roman" w:cs="Times New Roman"/>
                <w:b/>
                <w:sz w:val="20"/>
                <w:szCs w:val="20"/>
              </w:rPr>
            </w:pPr>
            <w:r w:rsidRPr="00C258EA">
              <w:rPr>
                <w:rFonts w:ascii="Times New Roman" w:hAnsi="Times New Roman" w:cs="Times New Roman"/>
                <w:bCs/>
                <w:kern w:val="24"/>
                <w:sz w:val="20"/>
                <w:szCs w:val="20"/>
              </w:rPr>
              <w:t>Non-functioning</w:t>
            </w:r>
          </w:p>
        </w:tc>
        <w:tc>
          <w:tcPr>
            <w:tcW w:w="1524" w:type="dxa"/>
            <w:vAlign w:val="center"/>
          </w:tcPr>
          <w:p w14:paraId="77BAB073"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14 (70%)</w:t>
            </w:r>
          </w:p>
        </w:tc>
        <w:tc>
          <w:tcPr>
            <w:tcW w:w="1703" w:type="dxa"/>
            <w:vAlign w:val="center"/>
          </w:tcPr>
          <w:p w14:paraId="50102B28"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18 (75%)</w:t>
            </w:r>
          </w:p>
        </w:tc>
        <w:tc>
          <w:tcPr>
            <w:tcW w:w="2266" w:type="dxa"/>
            <w:vAlign w:val="center"/>
          </w:tcPr>
          <w:p w14:paraId="17546F48"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kern w:val="24"/>
                <w:sz w:val="20"/>
                <w:szCs w:val="20"/>
              </w:rPr>
              <w:t> 1 (Ref)</w:t>
            </w:r>
          </w:p>
        </w:tc>
        <w:tc>
          <w:tcPr>
            <w:tcW w:w="1455" w:type="dxa"/>
            <w:vAlign w:val="center"/>
          </w:tcPr>
          <w:p w14:paraId="1D3DD727" w14:textId="77777777" w:rsidR="0036050E" w:rsidRPr="00C258EA" w:rsidRDefault="0036050E" w:rsidP="00643DF0">
            <w:pPr>
              <w:rPr>
                <w:rFonts w:ascii="Times New Roman" w:hAnsi="Times New Roman" w:cs="Times New Roman"/>
                <w:b/>
                <w:sz w:val="20"/>
                <w:szCs w:val="20"/>
              </w:rPr>
            </w:pPr>
          </w:p>
        </w:tc>
      </w:tr>
      <w:tr w:rsidR="0036050E" w:rsidRPr="00C258EA" w14:paraId="18B80D02" w14:textId="77777777" w:rsidTr="00643DF0">
        <w:tc>
          <w:tcPr>
            <w:tcW w:w="1703" w:type="dxa"/>
            <w:vAlign w:val="center"/>
          </w:tcPr>
          <w:p w14:paraId="3B30F28F" w14:textId="77777777" w:rsidR="0036050E" w:rsidRPr="00C258EA" w:rsidRDefault="0036050E" w:rsidP="00643DF0">
            <w:pPr>
              <w:rPr>
                <w:rFonts w:ascii="Times New Roman" w:eastAsia="MS Mincho" w:hAnsi="Times New Roman" w:cs="Times New Roman"/>
                <w:bCs/>
                <w:kern w:val="24"/>
                <w:sz w:val="20"/>
                <w:szCs w:val="20"/>
              </w:rPr>
            </w:pPr>
            <w:r w:rsidRPr="00C258EA">
              <w:rPr>
                <w:rFonts w:ascii="Times New Roman" w:eastAsia="MS Mincho" w:hAnsi="Times New Roman" w:cs="Times New Roman"/>
                <w:bCs/>
                <w:kern w:val="24"/>
                <w:sz w:val="20"/>
                <w:szCs w:val="20"/>
              </w:rPr>
              <w:t>UICC 8 stage</w:t>
            </w:r>
          </w:p>
        </w:tc>
        <w:tc>
          <w:tcPr>
            <w:tcW w:w="1524" w:type="dxa"/>
            <w:vAlign w:val="center"/>
          </w:tcPr>
          <w:p w14:paraId="5FD62067" w14:textId="77777777" w:rsidR="0036050E" w:rsidRPr="00C258EA" w:rsidRDefault="0036050E" w:rsidP="00643DF0">
            <w:pPr>
              <w:rPr>
                <w:rFonts w:ascii="Times New Roman" w:eastAsia="MS Mincho" w:hAnsi="Times New Roman" w:cs="Times New Roman"/>
                <w:kern w:val="24"/>
                <w:sz w:val="20"/>
                <w:szCs w:val="20"/>
              </w:rPr>
            </w:pPr>
          </w:p>
        </w:tc>
        <w:tc>
          <w:tcPr>
            <w:tcW w:w="1703" w:type="dxa"/>
            <w:vAlign w:val="center"/>
          </w:tcPr>
          <w:p w14:paraId="34A6020F" w14:textId="77777777" w:rsidR="0036050E" w:rsidRPr="00C258EA" w:rsidRDefault="0036050E" w:rsidP="00643DF0">
            <w:pPr>
              <w:rPr>
                <w:rFonts w:ascii="Times New Roman" w:eastAsia="MS Mincho" w:hAnsi="Times New Roman" w:cs="Times New Roman"/>
                <w:kern w:val="24"/>
                <w:sz w:val="20"/>
                <w:szCs w:val="20"/>
              </w:rPr>
            </w:pPr>
          </w:p>
        </w:tc>
        <w:tc>
          <w:tcPr>
            <w:tcW w:w="2266" w:type="dxa"/>
            <w:vAlign w:val="center"/>
          </w:tcPr>
          <w:p w14:paraId="5FA9CFD7" w14:textId="77777777" w:rsidR="0036050E" w:rsidRPr="00C258EA" w:rsidRDefault="0036050E" w:rsidP="00643DF0">
            <w:pPr>
              <w:rPr>
                <w:rFonts w:ascii="Times New Roman" w:eastAsia="MS Mincho" w:hAnsi="Times New Roman" w:cs="Times New Roman"/>
                <w:kern w:val="24"/>
                <w:sz w:val="20"/>
                <w:szCs w:val="20"/>
              </w:rPr>
            </w:pPr>
          </w:p>
        </w:tc>
        <w:tc>
          <w:tcPr>
            <w:tcW w:w="1455" w:type="dxa"/>
          </w:tcPr>
          <w:p w14:paraId="10975582" w14:textId="77777777" w:rsidR="0036050E" w:rsidRPr="00C258EA" w:rsidRDefault="0036050E" w:rsidP="00643DF0">
            <w:pPr>
              <w:rPr>
                <w:rFonts w:ascii="Times New Roman" w:hAnsi="Times New Roman" w:cs="Times New Roman"/>
                <w:b/>
                <w:sz w:val="20"/>
                <w:szCs w:val="20"/>
              </w:rPr>
            </w:pPr>
          </w:p>
        </w:tc>
      </w:tr>
      <w:tr w:rsidR="0036050E" w:rsidRPr="00C258EA" w14:paraId="6C27CB43" w14:textId="77777777" w:rsidTr="00643DF0">
        <w:tc>
          <w:tcPr>
            <w:tcW w:w="1703" w:type="dxa"/>
            <w:vAlign w:val="center"/>
          </w:tcPr>
          <w:p w14:paraId="67D7C2B7"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eastAsia="MS Mincho" w:hAnsi="Times New Roman" w:cs="Times New Roman"/>
                <w:bCs/>
                <w:kern w:val="24"/>
                <w:sz w:val="20"/>
                <w:szCs w:val="20"/>
              </w:rPr>
              <w:t>Stage IV</w:t>
            </w:r>
          </w:p>
        </w:tc>
        <w:tc>
          <w:tcPr>
            <w:tcW w:w="1524" w:type="dxa"/>
            <w:vAlign w:val="center"/>
          </w:tcPr>
          <w:p w14:paraId="5B55E123" w14:textId="77777777" w:rsidR="0036050E" w:rsidRPr="00C258EA" w:rsidRDefault="0036050E" w:rsidP="00643DF0">
            <w:pPr>
              <w:rPr>
                <w:rFonts w:ascii="Times New Roman" w:hAnsi="Times New Roman" w:cs="Times New Roman"/>
                <w:kern w:val="24"/>
                <w:sz w:val="20"/>
                <w:szCs w:val="20"/>
              </w:rPr>
            </w:pPr>
            <w:r w:rsidRPr="00C258EA">
              <w:rPr>
                <w:rFonts w:ascii="Times New Roman" w:eastAsia="MS Mincho" w:hAnsi="Times New Roman" w:cs="Times New Roman"/>
                <w:kern w:val="24"/>
                <w:sz w:val="20"/>
                <w:szCs w:val="20"/>
              </w:rPr>
              <w:t>13 (76.5%)</w:t>
            </w:r>
          </w:p>
        </w:tc>
        <w:tc>
          <w:tcPr>
            <w:tcW w:w="1703" w:type="dxa"/>
            <w:vAlign w:val="center"/>
          </w:tcPr>
          <w:p w14:paraId="08AAE2D2" w14:textId="77777777" w:rsidR="0036050E" w:rsidRPr="00C258EA" w:rsidRDefault="0036050E" w:rsidP="00643DF0">
            <w:pPr>
              <w:rPr>
                <w:rFonts w:ascii="Times New Roman" w:hAnsi="Times New Roman" w:cs="Times New Roman"/>
                <w:kern w:val="24"/>
                <w:sz w:val="20"/>
                <w:szCs w:val="20"/>
              </w:rPr>
            </w:pPr>
            <w:r w:rsidRPr="00C258EA">
              <w:rPr>
                <w:rFonts w:ascii="Times New Roman" w:eastAsia="MS Mincho" w:hAnsi="Times New Roman" w:cs="Times New Roman"/>
                <w:kern w:val="24"/>
                <w:sz w:val="20"/>
                <w:szCs w:val="20"/>
              </w:rPr>
              <w:t>23 (95.8%)</w:t>
            </w:r>
          </w:p>
        </w:tc>
        <w:tc>
          <w:tcPr>
            <w:tcW w:w="2266" w:type="dxa"/>
            <w:vAlign w:val="center"/>
          </w:tcPr>
          <w:p w14:paraId="1ECC435F" w14:textId="77777777" w:rsidR="0036050E" w:rsidRPr="00C258EA" w:rsidRDefault="0036050E" w:rsidP="00643DF0">
            <w:pPr>
              <w:rPr>
                <w:rFonts w:ascii="Times New Roman" w:hAnsi="Times New Roman" w:cs="Times New Roman"/>
                <w:kern w:val="24"/>
                <w:sz w:val="20"/>
                <w:szCs w:val="20"/>
              </w:rPr>
            </w:pPr>
            <w:r w:rsidRPr="00C258EA">
              <w:rPr>
                <w:rFonts w:ascii="Times New Roman" w:eastAsia="MS Mincho" w:hAnsi="Times New Roman" w:cs="Times New Roman"/>
                <w:kern w:val="24"/>
                <w:sz w:val="20"/>
                <w:szCs w:val="20"/>
              </w:rPr>
              <w:t xml:space="preserve">6.57 (0.67–64.88); </w:t>
            </w:r>
            <w:r w:rsidRPr="00C258EA">
              <w:rPr>
                <w:rFonts w:ascii="Times New Roman" w:hAnsi="Times New Roman" w:cs="Times New Roman"/>
                <w:i/>
                <w:kern w:val="24"/>
                <w:sz w:val="20"/>
                <w:szCs w:val="20"/>
              </w:rPr>
              <w:t>P</w:t>
            </w:r>
            <w:r w:rsidRPr="00C258EA">
              <w:rPr>
                <w:rFonts w:ascii="Times New Roman" w:eastAsia="MS Mincho" w:hAnsi="Times New Roman" w:cs="Times New Roman"/>
                <w:kern w:val="24"/>
                <w:sz w:val="20"/>
                <w:szCs w:val="20"/>
              </w:rPr>
              <w:t>=0.107</w:t>
            </w:r>
          </w:p>
        </w:tc>
        <w:tc>
          <w:tcPr>
            <w:tcW w:w="1455" w:type="dxa"/>
          </w:tcPr>
          <w:p w14:paraId="1D414604" w14:textId="77777777" w:rsidR="0036050E" w:rsidRPr="00C258EA" w:rsidRDefault="0036050E" w:rsidP="00643DF0">
            <w:pPr>
              <w:rPr>
                <w:rFonts w:ascii="Times New Roman" w:hAnsi="Times New Roman" w:cs="Times New Roman"/>
                <w:b/>
                <w:sz w:val="20"/>
                <w:szCs w:val="20"/>
              </w:rPr>
            </w:pPr>
            <w:r w:rsidRPr="00C258EA">
              <w:rPr>
                <w:rFonts w:ascii="Times New Roman" w:hAnsi="Times New Roman" w:cs="Times New Roman"/>
                <w:b/>
                <w:sz w:val="20"/>
                <w:szCs w:val="20"/>
              </w:rPr>
              <w:t>–</w:t>
            </w:r>
          </w:p>
        </w:tc>
      </w:tr>
      <w:tr w:rsidR="0036050E" w:rsidRPr="00C258EA" w14:paraId="18E74B29" w14:textId="77777777" w:rsidTr="00643DF0">
        <w:tc>
          <w:tcPr>
            <w:tcW w:w="1703" w:type="dxa"/>
            <w:vAlign w:val="center"/>
          </w:tcPr>
          <w:p w14:paraId="4DADB1F0" w14:textId="77777777" w:rsidR="0036050E" w:rsidRPr="00C258EA" w:rsidRDefault="0036050E" w:rsidP="00643DF0">
            <w:pPr>
              <w:ind w:firstLine="142"/>
              <w:rPr>
                <w:rFonts w:ascii="Times New Roman" w:eastAsia="MS Mincho" w:hAnsi="Times New Roman" w:cs="Times New Roman"/>
                <w:bCs/>
                <w:kern w:val="24"/>
                <w:sz w:val="20"/>
                <w:szCs w:val="20"/>
              </w:rPr>
            </w:pPr>
            <w:r w:rsidRPr="00C258EA">
              <w:rPr>
                <w:rFonts w:ascii="Times New Roman" w:eastAsia="MS Mincho" w:hAnsi="Times New Roman" w:cs="Times New Roman"/>
                <w:bCs/>
                <w:kern w:val="24"/>
                <w:sz w:val="20"/>
                <w:szCs w:val="20"/>
              </w:rPr>
              <w:t>Stage I–III</w:t>
            </w:r>
          </w:p>
        </w:tc>
        <w:tc>
          <w:tcPr>
            <w:tcW w:w="1524" w:type="dxa"/>
            <w:vAlign w:val="center"/>
          </w:tcPr>
          <w:p w14:paraId="1B9033E8"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4 (23.5%)</w:t>
            </w:r>
          </w:p>
        </w:tc>
        <w:tc>
          <w:tcPr>
            <w:tcW w:w="1703" w:type="dxa"/>
            <w:vAlign w:val="center"/>
          </w:tcPr>
          <w:p w14:paraId="06241E75"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1 (4.2%)</w:t>
            </w:r>
          </w:p>
        </w:tc>
        <w:tc>
          <w:tcPr>
            <w:tcW w:w="2266" w:type="dxa"/>
            <w:vAlign w:val="center"/>
          </w:tcPr>
          <w:p w14:paraId="32B11372"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1 (Ref)</w:t>
            </w:r>
          </w:p>
        </w:tc>
        <w:tc>
          <w:tcPr>
            <w:tcW w:w="1455" w:type="dxa"/>
          </w:tcPr>
          <w:p w14:paraId="4E43C4F2" w14:textId="77777777" w:rsidR="0036050E" w:rsidRPr="00C258EA" w:rsidRDefault="0036050E" w:rsidP="00643DF0">
            <w:pPr>
              <w:rPr>
                <w:rFonts w:ascii="Times New Roman" w:hAnsi="Times New Roman" w:cs="Times New Roman"/>
                <w:b/>
                <w:sz w:val="20"/>
                <w:szCs w:val="20"/>
              </w:rPr>
            </w:pPr>
          </w:p>
        </w:tc>
      </w:tr>
      <w:tr w:rsidR="0036050E" w:rsidRPr="00C258EA" w14:paraId="064616C8" w14:textId="77777777" w:rsidTr="00643DF0">
        <w:tc>
          <w:tcPr>
            <w:tcW w:w="1703" w:type="dxa"/>
            <w:vAlign w:val="center"/>
          </w:tcPr>
          <w:p w14:paraId="7C3B362A" w14:textId="77777777" w:rsidR="0036050E" w:rsidRPr="00C258EA" w:rsidRDefault="0036050E" w:rsidP="00643DF0">
            <w:pPr>
              <w:rPr>
                <w:rFonts w:ascii="Times New Roman" w:eastAsia="MS Mincho" w:hAnsi="Times New Roman" w:cs="Times New Roman"/>
                <w:bCs/>
                <w:kern w:val="24"/>
                <w:sz w:val="20"/>
                <w:szCs w:val="20"/>
              </w:rPr>
            </w:pPr>
            <w:r w:rsidRPr="00C258EA">
              <w:rPr>
                <w:rFonts w:ascii="Times New Roman" w:hAnsi="Times New Roman" w:cs="Times New Roman"/>
                <w:bCs/>
                <w:kern w:val="24"/>
                <w:sz w:val="20"/>
                <w:szCs w:val="20"/>
              </w:rPr>
              <w:t>Median baseline Ki-67 index, % (range)</w:t>
            </w:r>
          </w:p>
        </w:tc>
        <w:tc>
          <w:tcPr>
            <w:tcW w:w="1524" w:type="dxa"/>
            <w:vAlign w:val="center"/>
          </w:tcPr>
          <w:p w14:paraId="0699D409"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hAnsi="Times New Roman" w:cs="Times New Roman"/>
                <w:kern w:val="24"/>
                <w:sz w:val="20"/>
                <w:szCs w:val="20"/>
              </w:rPr>
              <w:t>5 (1–15)</w:t>
            </w:r>
          </w:p>
        </w:tc>
        <w:tc>
          <w:tcPr>
            <w:tcW w:w="1703" w:type="dxa"/>
            <w:vAlign w:val="center"/>
          </w:tcPr>
          <w:p w14:paraId="56680A9A"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hAnsi="Times New Roman" w:cs="Times New Roman"/>
                <w:kern w:val="24"/>
                <w:sz w:val="20"/>
                <w:szCs w:val="20"/>
              </w:rPr>
              <w:t>10 (2–20)</w:t>
            </w:r>
          </w:p>
        </w:tc>
        <w:tc>
          <w:tcPr>
            <w:tcW w:w="2266" w:type="dxa"/>
            <w:vAlign w:val="center"/>
          </w:tcPr>
          <w:p w14:paraId="706B8BA9"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hAnsi="Times New Roman" w:cs="Times New Roman"/>
                <w:kern w:val="24"/>
                <w:sz w:val="20"/>
                <w:szCs w:val="20"/>
              </w:rPr>
              <w:t xml:space="preserve"> 1.12 (0.99–1.26);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=0.063</w:t>
            </w:r>
          </w:p>
        </w:tc>
        <w:tc>
          <w:tcPr>
            <w:tcW w:w="1455" w:type="dxa"/>
            <w:vAlign w:val="center"/>
          </w:tcPr>
          <w:p w14:paraId="68D9CACD" w14:textId="77777777" w:rsidR="0036050E" w:rsidRPr="00C258EA" w:rsidRDefault="0036050E" w:rsidP="00643DF0">
            <w:pPr>
              <w:rPr>
                <w:rFonts w:ascii="Times New Roman" w:hAnsi="Times New Roman" w:cs="Times New Roman"/>
                <w:b/>
                <w:sz w:val="20"/>
                <w:szCs w:val="20"/>
              </w:rPr>
            </w:pPr>
            <w:r w:rsidRPr="00C258EA">
              <w:rPr>
                <w:rFonts w:ascii="Times New Roman" w:eastAsia="MS Mincho" w:hAnsi="Times New Roman" w:cs="Times New Roman"/>
                <w:kern w:val="24"/>
                <w:sz w:val="20"/>
                <w:szCs w:val="20"/>
              </w:rPr>
              <w:t>-</w:t>
            </w:r>
          </w:p>
        </w:tc>
      </w:tr>
      <w:tr w:rsidR="0036050E" w:rsidRPr="00C258EA" w14:paraId="76022B41" w14:textId="77777777" w:rsidTr="00643DF0">
        <w:tc>
          <w:tcPr>
            <w:tcW w:w="1703" w:type="dxa"/>
            <w:vAlign w:val="center"/>
          </w:tcPr>
          <w:p w14:paraId="49E4B73F" w14:textId="77777777" w:rsidR="0036050E" w:rsidRPr="00C258EA" w:rsidRDefault="0036050E" w:rsidP="00643DF0">
            <w:pPr>
              <w:rPr>
                <w:rFonts w:ascii="Times New Roman" w:hAnsi="Times New Roman" w:cs="Times New Roman"/>
                <w:bCs/>
                <w:kern w:val="24"/>
                <w:sz w:val="20"/>
                <w:szCs w:val="20"/>
              </w:rPr>
            </w:pPr>
            <w:r w:rsidRPr="00C258EA">
              <w:rPr>
                <w:rFonts w:ascii="Times New Roman" w:hAnsi="Times New Roman" w:cs="Times New Roman"/>
                <w:bCs/>
                <w:kern w:val="24"/>
                <w:sz w:val="20"/>
                <w:szCs w:val="20"/>
              </w:rPr>
              <w:t>Tumor grade, baseline</w:t>
            </w:r>
          </w:p>
        </w:tc>
        <w:tc>
          <w:tcPr>
            <w:tcW w:w="1524" w:type="dxa"/>
            <w:vAlign w:val="center"/>
          </w:tcPr>
          <w:p w14:paraId="6656B564"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w:t>
            </w:r>
          </w:p>
        </w:tc>
        <w:tc>
          <w:tcPr>
            <w:tcW w:w="1703" w:type="dxa"/>
            <w:vAlign w:val="center"/>
          </w:tcPr>
          <w:p w14:paraId="27799E70"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w:t>
            </w:r>
          </w:p>
        </w:tc>
        <w:tc>
          <w:tcPr>
            <w:tcW w:w="2266" w:type="dxa"/>
            <w:vAlign w:val="center"/>
          </w:tcPr>
          <w:p w14:paraId="7FBFF1BF"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w:t>
            </w:r>
          </w:p>
        </w:tc>
        <w:tc>
          <w:tcPr>
            <w:tcW w:w="1455" w:type="dxa"/>
            <w:vAlign w:val="center"/>
          </w:tcPr>
          <w:p w14:paraId="01AA1C09" w14:textId="77777777" w:rsidR="0036050E" w:rsidRPr="00C258EA" w:rsidRDefault="0036050E" w:rsidP="00643DF0">
            <w:pPr>
              <w:rPr>
                <w:rFonts w:ascii="Times New Roman" w:hAnsi="Times New Roman" w:cs="Times New Roman"/>
                <w:b/>
                <w:sz w:val="20"/>
                <w:szCs w:val="20"/>
              </w:rPr>
            </w:pPr>
          </w:p>
        </w:tc>
      </w:tr>
      <w:tr w:rsidR="0036050E" w:rsidRPr="00C258EA" w14:paraId="218B35EC" w14:textId="77777777" w:rsidTr="00643DF0">
        <w:tc>
          <w:tcPr>
            <w:tcW w:w="1703" w:type="dxa"/>
            <w:vAlign w:val="center"/>
          </w:tcPr>
          <w:p w14:paraId="4C426057"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Grade 1</w:t>
            </w:r>
          </w:p>
        </w:tc>
        <w:tc>
          <w:tcPr>
            <w:tcW w:w="1524" w:type="dxa"/>
            <w:vAlign w:val="center"/>
          </w:tcPr>
          <w:p w14:paraId="2976B50F"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6 (30%)</w:t>
            </w:r>
          </w:p>
        </w:tc>
        <w:tc>
          <w:tcPr>
            <w:tcW w:w="1703" w:type="dxa"/>
            <w:vAlign w:val="center"/>
          </w:tcPr>
          <w:p w14:paraId="4A0CD6EB"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2 (8.3%)</w:t>
            </w:r>
          </w:p>
        </w:tc>
        <w:tc>
          <w:tcPr>
            <w:tcW w:w="2266" w:type="dxa"/>
            <w:vAlign w:val="center"/>
          </w:tcPr>
          <w:p w14:paraId="699DC05F"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 (Ref) </w:t>
            </w:r>
          </w:p>
        </w:tc>
        <w:tc>
          <w:tcPr>
            <w:tcW w:w="1455" w:type="dxa"/>
            <w:vAlign w:val="center"/>
          </w:tcPr>
          <w:p w14:paraId="63E9F5E5" w14:textId="77777777" w:rsidR="0036050E" w:rsidRPr="00C258EA" w:rsidRDefault="0036050E" w:rsidP="00643DF0">
            <w:pPr>
              <w:rPr>
                <w:rFonts w:ascii="Times New Roman" w:eastAsia="MS Mincho" w:hAnsi="Times New Roman" w:cs="Times New Roman"/>
                <w:kern w:val="24"/>
                <w:sz w:val="20"/>
                <w:szCs w:val="20"/>
              </w:rPr>
            </w:pPr>
          </w:p>
        </w:tc>
      </w:tr>
      <w:tr w:rsidR="0036050E" w:rsidRPr="00C258EA" w14:paraId="4058399E" w14:textId="77777777" w:rsidTr="00643DF0">
        <w:tc>
          <w:tcPr>
            <w:tcW w:w="1703" w:type="dxa"/>
            <w:vAlign w:val="center"/>
          </w:tcPr>
          <w:p w14:paraId="74A06F81"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Grade 2</w:t>
            </w:r>
          </w:p>
        </w:tc>
        <w:tc>
          <w:tcPr>
            <w:tcW w:w="1524" w:type="dxa"/>
            <w:vAlign w:val="center"/>
          </w:tcPr>
          <w:p w14:paraId="49E2A0B9"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14 (70%)</w:t>
            </w:r>
          </w:p>
        </w:tc>
        <w:tc>
          <w:tcPr>
            <w:tcW w:w="1703" w:type="dxa"/>
            <w:vAlign w:val="center"/>
          </w:tcPr>
          <w:p w14:paraId="163CB299"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22 (91.7%)</w:t>
            </w:r>
          </w:p>
        </w:tc>
        <w:tc>
          <w:tcPr>
            <w:tcW w:w="2266" w:type="dxa"/>
            <w:vAlign w:val="center"/>
          </w:tcPr>
          <w:p w14:paraId="319C65CF"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xml:space="preserve"> 4.71 (0.83–26.72);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=0.080</w:t>
            </w:r>
          </w:p>
        </w:tc>
        <w:tc>
          <w:tcPr>
            <w:tcW w:w="1455" w:type="dxa"/>
            <w:vAlign w:val="center"/>
          </w:tcPr>
          <w:p w14:paraId="57FA81F3"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w:t>
            </w:r>
          </w:p>
        </w:tc>
      </w:tr>
      <w:tr w:rsidR="0036050E" w:rsidRPr="00C258EA" w14:paraId="636E16AE" w14:textId="77777777" w:rsidTr="00643DF0">
        <w:tc>
          <w:tcPr>
            <w:tcW w:w="1703" w:type="dxa"/>
            <w:vAlign w:val="center"/>
          </w:tcPr>
          <w:p w14:paraId="13A74349" w14:textId="77777777" w:rsidR="0036050E" w:rsidRPr="00C258EA" w:rsidRDefault="0036050E" w:rsidP="00643DF0">
            <w:pPr>
              <w:rPr>
                <w:rFonts w:ascii="Times New Roman" w:hAnsi="Times New Roman" w:cs="Times New Roman"/>
                <w:bCs/>
                <w:kern w:val="24"/>
                <w:sz w:val="20"/>
                <w:szCs w:val="20"/>
              </w:rPr>
            </w:pPr>
            <w:r w:rsidRPr="00C258EA">
              <w:rPr>
                <w:rFonts w:ascii="Times New Roman" w:hAnsi="Times New Roman" w:cs="Times New Roman"/>
                <w:bCs/>
                <w:kern w:val="24"/>
                <w:sz w:val="20"/>
                <w:szCs w:val="20"/>
              </w:rPr>
              <w:t>Follow-up sample from metastasis</w:t>
            </w:r>
          </w:p>
        </w:tc>
        <w:tc>
          <w:tcPr>
            <w:tcW w:w="1524" w:type="dxa"/>
            <w:vAlign w:val="center"/>
          </w:tcPr>
          <w:p w14:paraId="12CCF5AE"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20 (100%)</w:t>
            </w:r>
          </w:p>
        </w:tc>
        <w:tc>
          <w:tcPr>
            <w:tcW w:w="1703" w:type="dxa"/>
            <w:vAlign w:val="center"/>
          </w:tcPr>
          <w:p w14:paraId="5BF9C37D"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24 (100%)</w:t>
            </w:r>
          </w:p>
        </w:tc>
        <w:tc>
          <w:tcPr>
            <w:tcW w:w="2266" w:type="dxa"/>
            <w:vAlign w:val="center"/>
          </w:tcPr>
          <w:p w14:paraId="17CD83DB"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NA</w:t>
            </w:r>
          </w:p>
        </w:tc>
        <w:tc>
          <w:tcPr>
            <w:tcW w:w="1455" w:type="dxa"/>
            <w:vAlign w:val="center"/>
          </w:tcPr>
          <w:p w14:paraId="42481C2F" w14:textId="77777777" w:rsidR="0036050E" w:rsidRPr="00C258EA" w:rsidRDefault="0036050E" w:rsidP="00643DF0">
            <w:pPr>
              <w:rPr>
                <w:rFonts w:ascii="Times New Roman" w:eastAsia="MS Mincho" w:hAnsi="Times New Roman" w:cs="Times New Roman"/>
                <w:kern w:val="24"/>
                <w:sz w:val="20"/>
                <w:szCs w:val="20"/>
              </w:rPr>
            </w:pPr>
          </w:p>
        </w:tc>
      </w:tr>
      <w:tr w:rsidR="0036050E" w:rsidRPr="00C258EA" w14:paraId="16209AFE" w14:textId="77777777" w:rsidTr="00643DF0">
        <w:tc>
          <w:tcPr>
            <w:tcW w:w="1703" w:type="dxa"/>
            <w:vAlign w:val="center"/>
          </w:tcPr>
          <w:p w14:paraId="116908BA" w14:textId="77777777" w:rsidR="0036050E" w:rsidRPr="00C258EA" w:rsidRDefault="0036050E" w:rsidP="00643DF0">
            <w:pPr>
              <w:rPr>
                <w:rFonts w:ascii="Times New Roman" w:hAnsi="Times New Roman" w:cs="Times New Roman"/>
                <w:bCs/>
                <w:kern w:val="24"/>
                <w:sz w:val="20"/>
                <w:szCs w:val="20"/>
              </w:rPr>
            </w:pPr>
            <w:r w:rsidRPr="00C258EA">
              <w:rPr>
                <w:rFonts w:ascii="Times New Roman" w:hAnsi="Times New Roman" w:cs="Times New Roman"/>
                <w:bCs/>
                <w:kern w:val="24"/>
                <w:sz w:val="20"/>
                <w:szCs w:val="20"/>
              </w:rPr>
              <w:t>Follow-up sample method</w:t>
            </w:r>
          </w:p>
        </w:tc>
        <w:tc>
          <w:tcPr>
            <w:tcW w:w="1524" w:type="dxa"/>
            <w:vAlign w:val="center"/>
          </w:tcPr>
          <w:p w14:paraId="0580702F" w14:textId="77777777" w:rsidR="0036050E" w:rsidRPr="00C258EA" w:rsidRDefault="0036050E" w:rsidP="00643DF0">
            <w:pPr>
              <w:rPr>
                <w:rFonts w:ascii="Times New Roman" w:hAnsi="Times New Roman" w:cs="Times New Roman"/>
                <w:kern w:val="24"/>
                <w:sz w:val="20"/>
                <w:szCs w:val="20"/>
              </w:rPr>
            </w:pPr>
          </w:p>
        </w:tc>
        <w:tc>
          <w:tcPr>
            <w:tcW w:w="1703" w:type="dxa"/>
            <w:vAlign w:val="center"/>
          </w:tcPr>
          <w:p w14:paraId="2B5C7FC9" w14:textId="77777777" w:rsidR="0036050E" w:rsidRPr="00C258EA" w:rsidRDefault="0036050E" w:rsidP="00643DF0">
            <w:pPr>
              <w:rPr>
                <w:rFonts w:ascii="Times New Roman" w:hAnsi="Times New Roman" w:cs="Times New Roman"/>
                <w:kern w:val="24"/>
                <w:sz w:val="20"/>
                <w:szCs w:val="20"/>
              </w:rPr>
            </w:pPr>
          </w:p>
        </w:tc>
        <w:tc>
          <w:tcPr>
            <w:tcW w:w="2266" w:type="dxa"/>
            <w:vAlign w:val="center"/>
          </w:tcPr>
          <w:p w14:paraId="169F0B27" w14:textId="77777777" w:rsidR="0036050E" w:rsidRPr="00C258EA" w:rsidRDefault="0036050E" w:rsidP="00643DF0">
            <w:pPr>
              <w:rPr>
                <w:rFonts w:ascii="Times New Roman" w:hAnsi="Times New Roman" w:cs="Times New Roman"/>
                <w:kern w:val="24"/>
                <w:sz w:val="20"/>
                <w:szCs w:val="20"/>
              </w:rPr>
            </w:pPr>
          </w:p>
        </w:tc>
        <w:tc>
          <w:tcPr>
            <w:tcW w:w="1455" w:type="dxa"/>
            <w:vAlign w:val="center"/>
          </w:tcPr>
          <w:p w14:paraId="6E7B956E" w14:textId="77777777" w:rsidR="0036050E" w:rsidRPr="00C258EA" w:rsidRDefault="0036050E" w:rsidP="00643DF0">
            <w:pPr>
              <w:rPr>
                <w:rFonts w:ascii="Times New Roman" w:eastAsia="MS Mincho" w:hAnsi="Times New Roman" w:cs="Times New Roman"/>
                <w:kern w:val="24"/>
                <w:sz w:val="20"/>
                <w:szCs w:val="20"/>
              </w:rPr>
            </w:pPr>
          </w:p>
        </w:tc>
      </w:tr>
      <w:tr w:rsidR="0036050E" w:rsidRPr="00C258EA" w14:paraId="1991E317" w14:textId="77777777" w:rsidTr="00643DF0">
        <w:tc>
          <w:tcPr>
            <w:tcW w:w="1703" w:type="dxa"/>
            <w:vAlign w:val="center"/>
          </w:tcPr>
          <w:p w14:paraId="7BE6C9D4"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Surgery</w:t>
            </w:r>
          </w:p>
        </w:tc>
        <w:tc>
          <w:tcPr>
            <w:tcW w:w="1524" w:type="dxa"/>
            <w:vAlign w:val="center"/>
          </w:tcPr>
          <w:p w14:paraId="5FD9B5C3"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4 (20%)</w:t>
            </w:r>
          </w:p>
        </w:tc>
        <w:tc>
          <w:tcPr>
            <w:tcW w:w="1703" w:type="dxa"/>
            <w:vAlign w:val="center"/>
          </w:tcPr>
          <w:p w14:paraId="3E1EDB79"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 (4.2%)</w:t>
            </w:r>
          </w:p>
        </w:tc>
        <w:tc>
          <w:tcPr>
            <w:tcW w:w="2266" w:type="dxa"/>
            <w:vAlign w:val="center"/>
          </w:tcPr>
          <w:p w14:paraId="40D67E6F"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1 (Ref)</w:t>
            </w:r>
          </w:p>
        </w:tc>
        <w:tc>
          <w:tcPr>
            <w:tcW w:w="1455" w:type="dxa"/>
            <w:vAlign w:val="center"/>
          </w:tcPr>
          <w:p w14:paraId="7FBD3B1E"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1 (Ref)</w:t>
            </w:r>
          </w:p>
        </w:tc>
      </w:tr>
      <w:tr w:rsidR="0036050E" w:rsidRPr="00C258EA" w14:paraId="69667BF8" w14:textId="77777777" w:rsidTr="00643DF0">
        <w:tc>
          <w:tcPr>
            <w:tcW w:w="1703" w:type="dxa"/>
            <w:vAlign w:val="center"/>
          </w:tcPr>
          <w:p w14:paraId="0CC1A022"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Core needle biopsy</w:t>
            </w:r>
          </w:p>
        </w:tc>
        <w:tc>
          <w:tcPr>
            <w:tcW w:w="1524" w:type="dxa"/>
            <w:vAlign w:val="center"/>
          </w:tcPr>
          <w:p w14:paraId="7B28E35B"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16 (80%)</w:t>
            </w:r>
          </w:p>
        </w:tc>
        <w:tc>
          <w:tcPr>
            <w:tcW w:w="1703" w:type="dxa"/>
            <w:vAlign w:val="center"/>
          </w:tcPr>
          <w:p w14:paraId="6AA7244D"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23 (95.8%)</w:t>
            </w:r>
          </w:p>
        </w:tc>
        <w:tc>
          <w:tcPr>
            <w:tcW w:w="2266" w:type="dxa"/>
            <w:vAlign w:val="center"/>
          </w:tcPr>
          <w:p w14:paraId="29287CC2"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xml:space="preserve"> 5.07 (1.37–18.79);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=0.015</w:t>
            </w:r>
          </w:p>
        </w:tc>
        <w:tc>
          <w:tcPr>
            <w:tcW w:w="1455" w:type="dxa"/>
            <w:vAlign w:val="center"/>
          </w:tcPr>
          <w:p w14:paraId="1146EFB4"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4.09 (1.03–16.26); 0.045</w:t>
            </w:r>
          </w:p>
        </w:tc>
      </w:tr>
      <w:tr w:rsidR="0036050E" w:rsidRPr="00C258EA" w14:paraId="14D8DCE5" w14:textId="77777777" w:rsidTr="00643DF0">
        <w:tc>
          <w:tcPr>
            <w:tcW w:w="1703" w:type="dxa"/>
            <w:vAlign w:val="center"/>
          </w:tcPr>
          <w:p w14:paraId="1BAEC00C" w14:textId="77777777" w:rsidR="0036050E" w:rsidRPr="00C258EA" w:rsidRDefault="0036050E" w:rsidP="00643DF0">
            <w:pPr>
              <w:rPr>
                <w:rFonts w:ascii="Times New Roman" w:hAnsi="Times New Roman" w:cs="Times New Roman"/>
                <w:bCs/>
                <w:kern w:val="24"/>
                <w:sz w:val="20"/>
                <w:szCs w:val="20"/>
              </w:rPr>
            </w:pPr>
            <w:r w:rsidRPr="00C258EA">
              <w:rPr>
                <w:rFonts w:ascii="Times New Roman" w:hAnsi="Times New Roman" w:cs="Times New Roman"/>
                <w:bCs/>
                <w:kern w:val="24"/>
                <w:sz w:val="20"/>
                <w:szCs w:val="20"/>
              </w:rPr>
              <w:t>Indication for follow-up sample</w:t>
            </w:r>
          </w:p>
        </w:tc>
        <w:tc>
          <w:tcPr>
            <w:tcW w:w="1524" w:type="dxa"/>
            <w:vAlign w:val="center"/>
          </w:tcPr>
          <w:p w14:paraId="1A0A55DE" w14:textId="77777777" w:rsidR="0036050E" w:rsidRPr="00C258EA" w:rsidRDefault="0036050E" w:rsidP="00643DF0">
            <w:pPr>
              <w:rPr>
                <w:rFonts w:ascii="Times New Roman" w:hAnsi="Times New Roman" w:cs="Times New Roman"/>
                <w:kern w:val="24"/>
                <w:sz w:val="20"/>
                <w:szCs w:val="20"/>
              </w:rPr>
            </w:pPr>
          </w:p>
        </w:tc>
        <w:tc>
          <w:tcPr>
            <w:tcW w:w="1703" w:type="dxa"/>
            <w:vAlign w:val="center"/>
          </w:tcPr>
          <w:p w14:paraId="198CE065" w14:textId="77777777" w:rsidR="0036050E" w:rsidRPr="00C258EA" w:rsidRDefault="0036050E" w:rsidP="00643DF0">
            <w:pPr>
              <w:rPr>
                <w:rFonts w:ascii="Times New Roman" w:hAnsi="Times New Roman" w:cs="Times New Roman"/>
                <w:kern w:val="24"/>
                <w:sz w:val="20"/>
                <w:szCs w:val="20"/>
              </w:rPr>
            </w:pPr>
          </w:p>
        </w:tc>
        <w:tc>
          <w:tcPr>
            <w:tcW w:w="2266" w:type="dxa"/>
            <w:vAlign w:val="center"/>
          </w:tcPr>
          <w:p w14:paraId="4C8945C0" w14:textId="77777777" w:rsidR="0036050E" w:rsidRPr="00C258EA" w:rsidRDefault="0036050E" w:rsidP="00643DF0">
            <w:pPr>
              <w:rPr>
                <w:rFonts w:ascii="Times New Roman" w:hAnsi="Times New Roman" w:cs="Times New Roman"/>
                <w:kern w:val="24"/>
                <w:sz w:val="20"/>
                <w:szCs w:val="20"/>
              </w:rPr>
            </w:pPr>
          </w:p>
        </w:tc>
        <w:tc>
          <w:tcPr>
            <w:tcW w:w="1455" w:type="dxa"/>
            <w:vAlign w:val="center"/>
          </w:tcPr>
          <w:p w14:paraId="4945C665" w14:textId="77777777" w:rsidR="0036050E" w:rsidRPr="00C258EA" w:rsidRDefault="0036050E" w:rsidP="00643DF0">
            <w:pPr>
              <w:rPr>
                <w:rFonts w:ascii="Times New Roman" w:eastAsia="MS Mincho" w:hAnsi="Times New Roman" w:cs="Times New Roman"/>
                <w:kern w:val="24"/>
                <w:sz w:val="20"/>
                <w:szCs w:val="20"/>
              </w:rPr>
            </w:pPr>
          </w:p>
        </w:tc>
      </w:tr>
      <w:tr w:rsidR="0036050E" w:rsidRPr="00C258EA" w14:paraId="2B77D36B" w14:textId="77777777" w:rsidTr="00643DF0">
        <w:tc>
          <w:tcPr>
            <w:tcW w:w="1703" w:type="dxa"/>
            <w:vAlign w:val="center"/>
          </w:tcPr>
          <w:p w14:paraId="5E9F0C9D"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sz w:val="20"/>
                <w:szCs w:val="20"/>
              </w:rPr>
              <w:t>No change in disease behavior</w:t>
            </w:r>
          </w:p>
        </w:tc>
        <w:tc>
          <w:tcPr>
            <w:tcW w:w="1524" w:type="dxa"/>
            <w:vAlign w:val="center"/>
          </w:tcPr>
          <w:p w14:paraId="16B3D18F"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13 (65%)</w:t>
            </w:r>
          </w:p>
        </w:tc>
        <w:tc>
          <w:tcPr>
            <w:tcW w:w="1703" w:type="dxa"/>
            <w:vAlign w:val="center"/>
          </w:tcPr>
          <w:p w14:paraId="0B7B0B5B"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6 (25%)</w:t>
            </w:r>
          </w:p>
        </w:tc>
        <w:tc>
          <w:tcPr>
            <w:tcW w:w="2266" w:type="dxa"/>
            <w:vAlign w:val="center"/>
          </w:tcPr>
          <w:p w14:paraId="0A6F6293"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 (Ref) </w:t>
            </w:r>
          </w:p>
        </w:tc>
        <w:tc>
          <w:tcPr>
            <w:tcW w:w="1455" w:type="dxa"/>
            <w:vAlign w:val="center"/>
          </w:tcPr>
          <w:p w14:paraId="6E2563F0"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1 (Ref)</w:t>
            </w:r>
          </w:p>
        </w:tc>
      </w:tr>
      <w:tr w:rsidR="0036050E" w:rsidRPr="00C258EA" w14:paraId="19669B64" w14:textId="77777777" w:rsidTr="00643DF0">
        <w:tc>
          <w:tcPr>
            <w:tcW w:w="1703" w:type="dxa"/>
            <w:vAlign w:val="center"/>
          </w:tcPr>
          <w:p w14:paraId="2EF672A2"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Change of disease behavior</w:t>
            </w:r>
          </w:p>
        </w:tc>
        <w:tc>
          <w:tcPr>
            <w:tcW w:w="1524" w:type="dxa"/>
            <w:vAlign w:val="center"/>
          </w:tcPr>
          <w:p w14:paraId="3F98849F"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7 (35%)</w:t>
            </w:r>
          </w:p>
        </w:tc>
        <w:tc>
          <w:tcPr>
            <w:tcW w:w="1703" w:type="dxa"/>
            <w:vAlign w:val="center"/>
          </w:tcPr>
          <w:p w14:paraId="5924A472"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18 (75%)</w:t>
            </w:r>
          </w:p>
        </w:tc>
        <w:tc>
          <w:tcPr>
            <w:tcW w:w="2266" w:type="dxa"/>
            <w:vAlign w:val="center"/>
          </w:tcPr>
          <w:p w14:paraId="6DC59DB3"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xml:space="preserve"> 4.88 (1.36–17.47);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=0.015</w:t>
            </w:r>
          </w:p>
        </w:tc>
        <w:tc>
          <w:tcPr>
            <w:tcW w:w="1455" w:type="dxa"/>
            <w:vAlign w:val="center"/>
          </w:tcPr>
          <w:p w14:paraId="513FD8A2"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3.95 (1.03–15.17); 0.045</w:t>
            </w:r>
          </w:p>
        </w:tc>
      </w:tr>
      <w:tr w:rsidR="0036050E" w:rsidRPr="00C258EA" w14:paraId="31C7C718" w14:textId="77777777" w:rsidTr="00643DF0">
        <w:tc>
          <w:tcPr>
            <w:tcW w:w="1703" w:type="dxa"/>
            <w:vAlign w:val="center"/>
          </w:tcPr>
          <w:p w14:paraId="10640B52" w14:textId="77777777" w:rsidR="0036050E" w:rsidRPr="00C258EA" w:rsidRDefault="0036050E" w:rsidP="00643DF0">
            <w:pPr>
              <w:rPr>
                <w:rFonts w:ascii="Times New Roman" w:hAnsi="Times New Roman" w:cs="Times New Roman"/>
                <w:bCs/>
                <w:kern w:val="24"/>
                <w:sz w:val="20"/>
                <w:szCs w:val="20"/>
              </w:rPr>
            </w:pPr>
            <w:r w:rsidRPr="00C258EA">
              <w:rPr>
                <w:rFonts w:ascii="Times New Roman" w:hAnsi="Times New Roman" w:cs="Times New Roman"/>
                <w:bCs/>
                <w:kern w:val="24"/>
                <w:sz w:val="20"/>
                <w:szCs w:val="20"/>
              </w:rPr>
              <w:t>Prior treatment lines</w:t>
            </w:r>
          </w:p>
        </w:tc>
        <w:tc>
          <w:tcPr>
            <w:tcW w:w="1524" w:type="dxa"/>
            <w:vAlign w:val="center"/>
          </w:tcPr>
          <w:p w14:paraId="691300E8" w14:textId="77777777" w:rsidR="0036050E" w:rsidRPr="00C258EA" w:rsidRDefault="0036050E" w:rsidP="00643DF0">
            <w:pPr>
              <w:rPr>
                <w:rFonts w:ascii="Times New Roman" w:hAnsi="Times New Roman" w:cs="Times New Roman"/>
                <w:kern w:val="24"/>
                <w:sz w:val="20"/>
                <w:szCs w:val="20"/>
              </w:rPr>
            </w:pPr>
          </w:p>
        </w:tc>
        <w:tc>
          <w:tcPr>
            <w:tcW w:w="1703" w:type="dxa"/>
            <w:vAlign w:val="center"/>
          </w:tcPr>
          <w:p w14:paraId="1916C65C" w14:textId="77777777" w:rsidR="0036050E" w:rsidRPr="00C258EA" w:rsidRDefault="0036050E" w:rsidP="00643DF0">
            <w:pPr>
              <w:rPr>
                <w:rFonts w:ascii="Times New Roman" w:hAnsi="Times New Roman" w:cs="Times New Roman"/>
                <w:kern w:val="24"/>
                <w:sz w:val="20"/>
                <w:szCs w:val="20"/>
              </w:rPr>
            </w:pPr>
          </w:p>
        </w:tc>
        <w:tc>
          <w:tcPr>
            <w:tcW w:w="2266" w:type="dxa"/>
            <w:vAlign w:val="center"/>
          </w:tcPr>
          <w:p w14:paraId="19C4777D" w14:textId="77777777" w:rsidR="0036050E" w:rsidRPr="00C258EA" w:rsidRDefault="0036050E" w:rsidP="00643DF0">
            <w:pPr>
              <w:rPr>
                <w:rFonts w:ascii="Times New Roman" w:hAnsi="Times New Roman" w:cs="Times New Roman"/>
                <w:kern w:val="24"/>
                <w:sz w:val="20"/>
                <w:szCs w:val="20"/>
              </w:rPr>
            </w:pPr>
          </w:p>
        </w:tc>
        <w:tc>
          <w:tcPr>
            <w:tcW w:w="1455" w:type="dxa"/>
            <w:vAlign w:val="center"/>
          </w:tcPr>
          <w:p w14:paraId="2128B581" w14:textId="77777777" w:rsidR="0036050E" w:rsidRPr="00C258EA" w:rsidRDefault="0036050E" w:rsidP="00643DF0">
            <w:pPr>
              <w:rPr>
                <w:rFonts w:ascii="Times New Roman" w:eastAsia="MS Mincho" w:hAnsi="Times New Roman" w:cs="Times New Roman"/>
                <w:kern w:val="24"/>
                <w:sz w:val="20"/>
                <w:szCs w:val="20"/>
              </w:rPr>
            </w:pPr>
          </w:p>
        </w:tc>
      </w:tr>
      <w:tr w:rsidR="0036050E" w:rsidRPr="00C258EA" w14:paraId="5DB0DD1B" w14:textId="77777777" w:rsidTr="00643DF0">
        <w:tc>
          <w:tcPr>
            <w:tcW w:w="1703" w:type="dxa"/>
            <w:vAlign w:val="center"/>
          </w:tcPr>
          <w:p w14:paraId="582DA428"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0</w:t>
            </w:r>
          </w:p>
        </w:tc>
        <w:tc>
          <w:tcPr>
            <w:tcW w:w="1524" w:type="dxa"/>
            <w:vAlign w:val="center"/>
          </w:tcPr>
          <w:p w14:paraId="69FF7476"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8 (40%)</w:t>
            </w:r>
          </w:p>
        </w:tc>
        <w:tc>
          <w:tcPr>
            <w:tcW w:w="1703" w:type="dxa"/>
            <w:vAlign w:val="center"/>
          </w:tcPr>
          <w:p w14:paraId="0823BC38"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0 (0%)</w:t>
            </w:r>
          </w:p>
        </w:tc>
        <w:tc>
          <w:tcPr>
            <w:tcW w:w="2266" w:type="dxa"/>
            <w:vAlign w:val="center"/>
          </w:tcPr>
          <w:p w14:paraId="5DF872A7"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xml:space="preserve">1 (Ref) </w:t>
            </w:r>
          </w:p>
        </w:tc>
        <w:tc>
          <w:tcPr>
            <w:tcW w:w="1455" w:type="dxa"/>
            <w:vAlign w:val="center"/>
          </w:tcPr>
          <w:p w14:paraId="1F53675B"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w:t>
            </w:r>
          </w:p>
        </w:tc>
      </w:tr>
      <w:tr w:rsidR="0036050E" w:rsidRPr="00C258EA" w14:paraId="15595757" w14:textId="77777777" w:rsidTr="00643DF0">
        <w:tc>
          <w:tcPr>
            <w:tcW w:w="1703" w:type="dxa"/>
            <w:vAlign w:val="center"/>
          </w:tcPr>
          <w:p w14:paraId="651F46D9"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1</w:t>
            </w:r>
          </w:p>
        </w:tc>
        <w:tc>
          <w:tcPr>
            <w:tcW w:w="1524" w:type="dxa"/>
            <w:vAlign w:val="center"/>
          </w:tcPr>
          <w:p w14:paraId="7BEDDE33"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6 (30%)</w:t>
            </w:r>
          </w:p>
        </w:tc>
        <w:tc>
          <w:tcPr>
            <w:tcW w:w="1703" w:type="dxa"/>
            <w:vAlign w:val="center"/>
          </w:tcPr>
          <w:p w14:paraId="6F7255E4"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7 (29.2%)</w:t>
            </w:r>
          </w:p>
        </w:tc>
        <w:tc>
          <w:tcPr>
            <w:tcW w:w="2266" w:type="dxa"/>
            <w:vAlign w:val="center"/>
          </w:tcPr>
          <w:p w14:paraId="10560657"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xml:space="preserve">2.33 (0.31–17.54);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=0.410</w:t>
            </w:r>
          </w:p>
        </w:tc>
        <w:tc>
          <w:tcPr>
            <w:tcW w:w="1455" w:type="dxa"/>
            <w:vAlign w:val="center"/>
          </w:tcPr>
          <w:p w14:paraId="4F3DEA7B"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w:t>
            </w:r>
          </w:p>
        </w:tc>
      </w:tr>
      <w:tr w:rsidR="0036050E" w:rsidRPr="00C258EA" w14:paraId="0498497D" w14:textId="77777777" w:rsidTr="00643DF0">
        <w:tc>
          <w:tcPr>
            <w:tcW w:w="1703" w:type="dxa"/>
            <w:vAlign w:val="center"/>
          </w:tcPr>
          <w:p w14:paraId="1F78523D"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2</w:t>
            </w:r>
          </w:p>
        </w:tc>
        <w:tc>
          <w:tcPr>
            <w:tcW w:w="1524" w:type="dxa"/>
            <w:vAlign w:val="center"/>
          </w:tcPr>
          <w:p w14:paraId="65F7B963"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2 (10%)</w:t>
            </w:r>
          </w:p>
        </w:tc>
        <w:tc>
          <w:tcPr>
            <w:tcW w:w="1703" w:type="dxa"/>
            <w:vAlign w:val="center"/>
          </w:tcPr>
          <w:p w14:paraId="6B8FF2E3"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7 (29.2%)</w:t>
            </w:r>
          </w:p>
        </w:tc>
        <w:tc>
          <w:tcPr>
            <w:tcW w:w="2266" w:type="dxa"/>
            <w:vAlign w:val="center"/>
          </w:tcPr>
          <w:p w14:paraId="0C65EC33"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xml:space="preserve">7.0 (0.69–70.74);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=0.099</w:t>
            </w:r>
          </w:p>
        </w:tc>
        <w:tc>
          <w:tcPr>
            <w:tcW w:w="1455" w:type="dxa"/>
            <w:vAlign w:val="center"/>
          </w:tcPr>
          <w:p w14:paraId="3D230C36"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w:t>
            </w:r>
          </w:p>
        </w:tc>
      </w:tr>
      <w:tr w:rsidR="0036050E" w:rsidRPr="00C258EA" w14:paraId="5C1EE07C" w14:textId="77777777" w:rsidTr="00643DF0">
        <w:tc>
          <w:tcPr>
            <w:tcW w:w="1703" w:type="dxa"/>
            <w:vAlign w:val="center"/>
          </w:tcPr>
          <w:p w14:paraId="6147FA07"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3</w:t>
            </w:r>
          </w:p>
        </w:tc>
        <w:tc>
          <w:tcPr>
            <w:tcW w:w="1524" w:type="dxa"/>
            <w:vAlign w:val="center"/>
          </w:tcPr>
          <w:p w14:paraId="214FD289"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 (5%)</w:t>
            </w:r>
          </w:p>
        </w:tc>
        <w:tc>
          <w:tcPr>
            <w:tcW w:w="1703" w:type="dxa"/>
            <w:vAlign w:val="center"/>
          </w:tcPr>
          <w:p w14:paraId="0E4C8C24"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7 (29.2%)</w:t>
            </w:r>
          </w:p>
        </w:tc>
        <w:tc>
          <w:tcPr>
            <w:tcW w:w="2266" w:type="dxa"/>
            <w:vAlign w:val="center"/>
          </w:tcPr>
          <w:p w14:paraId="29A907AA"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 xml:space="preserve">14.0 (0.94–207.59); </w:t>
            </w:r>
            <w:r w:rsidRPr="00C258EA">
              <w:rPr>
                <w:rFonts w:ascii="Times New Roman" w:hAnsi="Times New Roman" w:cs="Times New Roman"/>
                <w:i/>
                <w:kern w:val="24"/>
                <w:sz w:val="20"/>
                <w:szCs w:val="20"/>
              </w:rPr>
              <w:t>P</w:t>
            </w:r>
            <w:r w:rsidRPr="00C258EA">
              <w:rPr>
                <w:rFonts w:ascii="Times New Roman" w:hAnsi="Times New Roman" w:cs="Times New Roman"/>
                <w:kern w:val="24"/>
                <w:sz w:val="20"/>
                <w:szCs w:val="20"/>
              </w:rPr>
              <w:t>=0.055</w:t>
            </w:r>
          </w:p>
        </w:tc>
        <w:tc>
          <w:tcPr>
            <w:tcW w:w="1455" w:type="dxa"/>
            <w:vAlign w:val="center"/>
          </w:tcPr>
          <w:p w14:paraId="5497BC47"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w:t>
            </w:r>
          </w:p>
        </w:tc>
      </w:tr>
      <w:tr w:rsidR="0036050E" w:rsidRPr="00C258EA" w14:paraId="2B8B482D" w14:textId="77777777" w:rsidTr="00643DF0">
        <w:tc>
          <w:tcPr>
            <w:tcW w:w="1703" w:type="dxa"/>
            <w:vAlign w:val="center"/>
          </w:tcPr>
          <w:p w14:paraId="2796D615"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4</w:t>
            </w:r>
          </w:p>
        </w:tc>
        <w:tc>
          <w:tcPr>
            <w:tcW w:w="1524" w:type="dxa"/>
            <w:vAlign w:val="center"/>
          </w:tcPr>
          <w:p w14:paraId="609F9FB8"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3 (15%)</w:t>
            </w:r>
          </w:p>
        </w:tc>
        <w:tc>
          <w:tcPr>
            <w:tcW w:w="1703" w:type="dxa"/>
            <w:vAlign w:val="center"/>
          </w:tcPr>
          <w:p w14:paraId="66BF499B"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2 (8.2%)</w:t>
            </w:r>
          </w:p>
        </w:tc>
        <w:tc>
          <w:tcPr>
            <w:tcW w:w="2266" w:type="dxa"/>
            <w:vAlign w:val="center"/>
          </w:tcPr>
          <w:p w14:paraId="5377B180"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Cannot calculate due to few observations</w:t>
            </w:r>
          </w:p>
        </w:tc>
        <w:tc>
          <w:tcPr>
            <w:tcW w:w="1455" w:type="dxa"/>
            <w:vAlign w:val="center"/>
          </w:tcPr>
          <w:p w14:paraId="31E14E72"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w:t>
            </w:r>
          </w:p>
        </w:tc>
      </w:tr>
      <w:tr w:rsidR="0036050E" w:rsidRPr="00C258EA" w14:paraId="1B9FE19F" w14:textId="77777777" w:rsidTr="00643DF0">
        <w:tc>
          <w:tcPr>
            <w:tcW w:w="1703" w:type="dxa"/>
            <w:vAlign w:val="center"/>
          </w:tcPr>
          <w:p w14:paraId="195CBB3E"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5</w:t>
            </w:r>
          </w:p>
        </w:tc>
        <w:tc>
          <w:tcPr>
            <w:tcW w:w="1524" w:type="dxa"/>
            <w:vAlign w:val="center"/>
          </w:tcPr>
          <w:p w14:paraId="15880BA6"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0 (0%)</w:t>
            </w:r>
          </w:p>
        </w:tc>
        <w:tc>
          <w:tcPr>
            <w:tcW w:w="1703" w:type="dxa"/>
            <w:vAlign w:val="center"/>
          </w:tcPr>
          <w:p w14:paraId="1F3395C8"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 (4.2%)</w:t>
            </w:r>
          </w:p>
        </w:tc>
        <w:tc>
          <w:tcPr>
            <w:tcW w:w="2266" w:type="dxa"/>
            <w:vAlign w:val="center"/>
          </w:tcPr>
          <w:p w14:paraId="1905CF28"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Cannot calculate due to few observations</w:t>
            </w:r>
          </w:p>
        </w:tc>
        <w:tc>
          <w:tcPr>
            <w:tcW w:w="1455" w:type="dxa"/>
            <w:vAlign w:val="center"/>
          </w:tcPr>
          <w:p w14:paraId="0EE8FF89"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w:t>
            </w:r>
          </w:p>
        </w:tc>
      </w:tr>
      <w:tr w:rsidR="0036050E" w:rsidRPr="00C258EA" w14:paraId="7EACFD2E" w14:textId="77777777" w:rsidTr="00643DF0">
        <w:tc>
          <w:tcPr>
            <w:tcW w:w="1703" w:type="dxa"/>
            <w:vAlign w:val="center"/>
          </w:tcPr>
          <w:p w14:paraId="5F9F42BD" w14:textId="77777777" w:rsidR="0036050E" w:rsidRPr="00C258EA" w:rsidRDefault="0036050E" w:rsidP="00643DF0">
            <w:pPr>
              <w:rPr>
                <w:rFonts w:ascii="Times New Roman" w:hAnsi="Times New Roman" w:cs="Times New Roman"/>
                <w:bCs/>
                <w:kern w:val="24"/>
                <w:sz w:val="20"/>
                <w:szCs w:val="20"/>
              </w:rPr>
            </w:pPr>
            <w:r w:rsidRPr="00C258EA">
              <w:rPr>
                <w:rFonts w:ascii="Times New Roman" w:hAnsi="Times New Roman" w:cs="Times New Roman"/>
                <w:bCs/>
                <w:kern w:val="24"/>
                <w:sz w:val="20"/>
                <w:szCs w:val="20"/>
              </w:rPr>
              <w:t>Prior treatment</w:t>
            </w:r>
          </w:p>
        </w:tc>
        <w:tc>
          <w:tcPr>
            <w:tcW w:w="1524" w:type="dxa"/>
            <w:vAlign w:val="center"/>
          </w:tcPr>
          <w:p w14:paraId="7BD02C6A" w14:textId="77777777" w:rsidR="0036050E" w:rsidRPr="00C258EA" w:rsidRDefault="0036050E" w:rsidP="00643DF0">
            <w:pPr>
              <w:rPr>
                <w:rFonts w:ascii="Times New Roman" w:hAnsi="Times New Roman" w:cs="Times New Roman"/>
                <w:kern w:val="24"/>
                <w:sz w:val="20"/>
                <w:szCs w:val="20"/>
              </w:rPr>
            </w:pPr>
          </w:p>
        </w:tc>
        <w:tc>
          <w:tcPr>
            <w:tcW w:w="1703" w:type="dxa"/>
            <w:vAlign w:val="center"/>
          </w:tcPr>
          <w:p w14:paraId="7C44E3F4" w14:textId="77777777" w:rsidR="0036050E" w:rsidRPr="00C258EA" w:rsidRDefault="0036050E" w:rsidP="00643DF0">
            <w:pPr>
              <w:rPr>
                <w:rFonts w:ascii="Times New Roman" w:hAnsi="Times New Roman" w:cs="Times New Roman"/>
                <w:kern w:val="24"/>
                <w:sz w:val="20"/>
                <w:szCs w:val="20"/>
              </w:rPr>
            </w:pPr>
          </w:p>
        </w:tc>
        <w:tc>
          <w:tcPr>
            <w:tcW w:w="2266" w:type="dxa"/>
            <w:vAlign w:val="center"/>
          </w:tcPr>
          <w:p w14:paraId="79E9F4CF" w14:textId="77777777" w:rsidR="0036050E" w:rsidRPr="00C258EA" w:rsidRDefault="0036050E" w:rsidP="00643DF0">
            <w:pPr>
              <w:rPr>
                <w:rStyle w:val="CommentReference"/>
                <w:rFonts w:ascii="Times New Roman" w:hAnsi="Times New Roman" w:cs="Times New Roman"/>
                <w:sz w:val="20"/>
                <w:szCs w:val="20"/>
              </w:rPr>
            </w:pPr>
          </w:p>
        </w:tc>
        <w:tc>
          <w:tcPr>
            <w:tcW w:w="1455" w:type="dxa"/>
            <w:vAlign w:val="center"/>
          </w:tcPr>
          <w:p w14:paraId="1F619C11" w14:textId="77777777" w:rsidR="0036050E" w:rsidRPr="00C258EA" w:rsidRDefault="0036050E" w:rsidP="00643DF0">
            <w:pPr>
              <w:rPr>
                <w:rFonts w:ascii="Times New Roman" w:eastAsia="MS Mincho" w:hAnsi="Times New Roman" w:cs="Times New Roman"/>
                <w:kern w:val="24"/>
                <w:sz w:val="20"/>
                <w:szCs w:val="20"/>
              </w:rPr>
            </w:pPr>
          </w:p>
        </w:tc>
      </w:tr>
      <w:tr w:rsidR="0036050E" w:rsidRPr="00C258EA" w14:paraId="0CEB3F92" w14:textId="77777777" w:rsidTr="00643DF0">
        <w:tc>
          <w:tcPr>
            <w:tcW w:w="1703" w:type="dxa"/>
            <w:vAlign w:val="center"/>
          </w:tcPr>
          <w:p w14:paraId="4D79D914"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Alkylating chemotherapy</w:t>
            </w:r>
          </w:p>
        </w:tc>
        <w:tc>
          <w:tcPr>
            <w:tcW w:w="1524" w:type="dxa"/>
            <w:vAlign w:val="center"/>
          </w:tcPr>
          <w:p w14:paraId="5689A869"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14 (70%)</w:t>
            </w:r>
          </w:p>
        </w:tc>
        <w:tc>
          <w:tcPr>
            <w:tcW w:w="1703" w:type="dxa"/>
            <w:vAlign w:val="center"/>
          </w:tcPr>
          <w:p w14:paraId="7A0E9D4E"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13 (53.2%)</w:t>
            </w:r>
          </w:p>
        </w:tc>
        <w:tc>
          <w:tcPr>
            <w:tcW w:w="2266" w:type="dxa"/>
            <w:vAlign w:val="center"/>
          </w:tcPr>
          <w:p w14:paraId="1DB5BF63" w14:textId="77777777" w:rsidR="0036050E" w:rsidRPr="00C258EA" w:rsidRDefault="0036050E" w:rsidP="00643DF0">
            <w:pPr>
              <w:rPr>
                <w:rStyle w:val="CommentReference"/>
                <w:rFonts w:ascii="Times New Roman" w:hAnsi="Times New Roman" w:cs="Times New Roman"/>
                <w:sz w:val="20"/>
                <w:szCs w:val="20"/>
              </w:rPr>
            </w:pPr>
            <w:r w:rsidRPr="00C258EA">
              <w:rPr>
                <w:rStyle w:val="CommentReference"/>
                <w:rFonts w:ascii="Times New Roman" w:hAnsi="Times New Roman" w:cs="Times New Roman"/>
                <w:sz w:val="20"/>
                <w:szCs w:val="20"/>
              </w:rPr>
              <w:t xml:space="preserve">9.20 (1.01–84.26); </w:t>
            </w:r>
            <w:r w:rsidRPr="00C258EA">
              <w:rPr>
                <w:rFonts w:ascii="Times New Roman" w:hAnsi="Times New Roman" w:cs="Times New Roman"/>
                <w:i/>
                <w:kern w:val="24"/>
                <w:sz w:val="20"/>
                <w:szCs w:val="20"/>
              </w:rPr>
              <w:t>P</w:t>
            </w:r>
            <w:r w:rsidRPr="00C258EA">
              <w:rPr>
                <w:rStyle w:val="CommentReference"/>
              </w:rPr>
              <w:t>=</w:t>
            </w:r>
            <w:r w:rsidRPr="00C258EA">
              <w:rPr>
                <w:rStyle w:val="CommentReference"/>
                <w:rFonts w:ascii="Times New Roman" w:hAnsi="Times New Roman" w:cs="Times New Roman"/>
                <w:sz w:val="20"/>
                <w:szCs w:val="20"/>
              </w:rPr>
              <w:t>0.050</w:t>
            </w:r>
          </w:p>
        </w:tc>
        <w:tc>
          <w:tcPr>
            <w:tcW w:w="1455" w:type="dxa"/>
            <w:vAlign w:val="center"/>
          </w:tcPr>
          <w:p w14:paraId="607BEACA"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w:t>
            </w:r>
          </w:p>
        </w:tc>
      </w:tr>
      <w:tr w:rsidR="0036050E" w:rsidRPr="00C258EA" w14:paraId="4E7EFF42" w14:textId="77777777" w:rsidTr="00643DF0">
        <w:tc>
          <w:tcPr>
            <w:tcW w:w="1703" w:type="dxa"/>
            <w:vAlign w:val="center"/>
          </w:tcPr>
          <w:p w14:paraId="37F28501" w14:textId="77777777" w:rsidR="0036050E" w:rsidRPr="00C258EA" w:rsidRDefault="0036050E" w:rsidP="00643DF0">
            <w:pPr>
              <w:ind w:firstLine="142"/>
              <w:rPr>
                <w:rFonts w:ascii="Times New Roman" w:hAnsi="Times New Roman" w:cs="Times New Roman"/>
                <w:bCs/>
                <w:kern w:val="24"/>
                <w:sz w:val="20"/>
                <w:szCs w:val="20"/>
              </w:rPr>
            </w:pPr>
            <w:r w:rsidRPr="00C258EA">
              <w:rPr>
                <w:rFonts w:ascii="Times New Roman" w:hAnsi="Times New Roman" w:cs="Times New Roman"/>
                <w:bCs/>
                <w:kern w:val="24"/>
                <w:sz w:val="20"/>
                <w:szCs w:val="20"/>
              </w:rPr>
              <w:t>PRRT</w:t>
            </w:r>
          </w:p>
        </w:tc>
        <w:tc>
          <w:tcPr>
            <w:tcW w:w="1524" w:type="dxa"/>
            <w:vAlign w:val="center"/>
          </w:tcPr>
          <w:p w14:paraId="6DE53D58"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6 (30%)</w:t>
            </w:r>
          </w:p>
        </w:tc>
        <w:tc>
          <w:tcPr>
            <w:tcW w:w="1703" w:type="dxa"/>
            <w:vAlign w:val="center"/>
          </w:tcPr>
          <w:p w14:paraId="0E6F4BD6" w14:textId="77777777" w:rsidR="0036050E" w:rsidRPr="00C258EA" w:rsidRDefault="0036050E" w:rsidP="00643DF0">
            <w:pPr>
              <w:rPr>
                <w:rFonts w:ascii="Times New Roman" w:hAnsi="Times New Roman" w:cs="Times New Roman"/>
                <w:kern w:val="24"/>
                <w:sz w:val="20"/>
                <w:szCs w:val="20"/>
              </w:rPr>
            </w:pPr>
            <w:r w:rsidRPr="00C258EA">
              <w:rPr>
                <w:rFonts w:ascii="Times New Roman" w:hAnsi="Times New Roman" w:cs="Times New Roman"/>
                <w:kern w:val="24"/>
                <w:sz w:val="20"/>
                <w:szCs w:val="20"/>
              </w:rPr>
              <w:t>11 (45.8%)</w:t>
            </w:r>
          </w:p>
        </w:tc>
        <w:tc>
          <w:tcPr>
            <w:tcW w:w="2266" w:type="dxa"/>
            <w:vAlign w:val="center"/>
          </w:tcPr>
          <w:p w14:paraId="5EBD15C0" w14:textId="77777777" w:rsidR="0036050E" w:rsidRPr="00C258EA" w:rsidRDefault="0036050E" w:rsidP="00643DF0">
            <w:pPr>
              <w:rPr>
                <w:rStyle w:val="CommentReference"/>
                <w:rFonts w:ascii="Times New Roman" w:hAnsi="Times New Roman" w:cs="Times New Roman"/>
                <w:sz w:val="20"/>
                <w:szCs w:val="20"/>
              </w:rPr>
            </w:pPr>
            <w:r w:rsidRPr="00C258EA">
              <w:rPr>
                <w:rStyle w:val="CommentReference"/>
                <w:rFonts w:ascii="Times New Roman" w:hAnsi="Times New Roman" w:cs="Times New Roman"/>
                <w:sz w:val="20"/>
                <w:szCs w:val="20"/>
              </w:rPr>
              <w:t xml:space="preserve">1.69 (0.50–5.68); </w:t>
            </w:r>
            <w:r w:rsidRPr="00C258EA">
              <w:rPr>
                <w:rFonts w:ascii="Times New Roman" w:hAnsi="Times New Roman" w:cs="Times New Roman"/>
                <w:i/>
                <w:kern w:val="24"/>
                <w:sz w:val="20"/>
                <w:szCs w:val="20"/>
              </w:rPr>
              <w:t>P</w:t>
            </w:r>
            <w:r w:rsidRPr="00C258EA">
              <w:rPr>
                <w:rStyle w:val="CommentReference"/>
              </w:rPr>
              <w:t>=</w:t>
            </w:r>
            <w:r w:rsidRPr="00C258EA">
              <w:rPr>
                <w:rStyle w:val="CommentReference"/>
                <w:rFonts w:ascii="Times New Roman" w:hAnsi="Times New Roman" w:cs="Times New Roman"/>
                <w:sz w:val="20"/>
                <w:szCs w:val="20"/>
              </w:rPr>
              <w:t>0.395</w:t>
            </w:r>
          </w:p>
        </w:tc>
        <w:tc>
          <w:tcPr>
            <w:tcW w:w="1455" w:type="dxa"/>
            <w:vAlign w:val="center"/>
          </w:tcPr>
          <w:p w14:paraId="16F84BC2" w14:textId="77777777" w:rsidR="0036050E" w:rsidRPr="00C258EA" w:rsidRDefault="0036050E" w:rsidP="00643DF0">
            <w:pPr>
              <w:rPr>
                <w:rFonts w:ascii="Times New Roman" w:eastAsia="MS Mincho" w:hAnsi="Times New Roman" w:cs="Times New Roman"/>
                <w:kern w:val="24"/>
                <w:sz w:val="20"/>
                <w:szCs w:val="20"/>
              </w:rPr>
            </w:pPr>
            <w:r w:rsidRPr="00C258EA">
              <w:rPr>
                <w:rFonts w:ascii="Times New Roman" w:eastAsia="MS Mincho" w:hAnsi="Times New Roman" w:cs="Times New Roman"/>
                <w:kern w:val="24"/>
                <w:sz w:val="20"/>
                <w:szCs w:val="20"/>
              </w:rPr>
              <w:t>-</w:t>
            </w:r>
          </w:p>
        </w:tc>
      </w:tr>
    </w:tbl>
    <w:p w14:paraId="79136023" w14:textId="77777777" w:rsidR="0036050E" w:rsidRPr="00C258EA" w:rsidRDefault="0036050E" w:rsidP="0036050E">
      <w:pPr>
        <w:spacing w:line="480" w:lineRule="auto"/>
        <w:rPr>
          <w:rFonts w:ascii="Times New Roman" w:eastAsiaTheme="majorEastAsia" w:hAnsi="Times New Roman" w:cs="Times New Roman"/>
          <w:bCs/>
        </w:rPr>
      </w:pPr>
      <w:bookmarkStart w:id="1" w:name="_Ref401148488"/>
      <w:proofErr w:type="gramStart"/>
      <w:r w:rsidRPr="00C258EA">
        <w:rPr>
          <w:rFonts w:ascii="Times New Roman" w:hAnsi="Times New Roman" w:cs="Times New Roman"/>
        </w:rPr>
        <w:t>Abbreviations: NA, Not available; OR, Odds ratio; PRRT, Peptide Receptor Radionuclide Therapy; Ref, Reference</w:t>
      </w:r>
      <w:r w:rsidRPr="00C258EA">
        <w:rPr>
          <w:rFonts w:ascii="Times New Roman" w:hAnsi="Times New Roman" w:cs="Times New Roman"/>
          <w:b/>
        </w:rPr>
        <w:t>.</w:t>
      </w:r>
      <w:proofErr w:type="gramEnd"/>
      <w:r w:rsidRPr="00C258EA">
        <w:rPr>
          <w:rFonts w:ascii="Times New Roman" w:hAnsi="Times New Roman" w:cs="Times New Roman"/>
          <w:b/>
        </w:rPr>
        <w:br w:type="page"/>
      </w:r>
    </w:p>
    <w:bookmarkEnd w:id="1"/>
    <w:p w14:paraId="775C24C2" w14:textId="77777777" w:rsidR="0036050E" w:rsidRPr="00C258EA" w:rsidRDefault="0036050E" w:rsidP="0036050E">
      <w:pPr>
        <w:spacing w:line="480" w:lineRule="auto"/>
        <w:rPr>
          <w:rFonts w:ascii="Times New Roman" w:hAnsi="Times New Roman" w:cs="Times New Roman"/>
          <w:b/>
        </w:rPr>
      </w:pPr>
      <w:proofErr w:type="spellStart"/>
      <w:proofErr w:type="gramStart"/>
      <w:r w:rsidRPr="00C258EA">
        <w:rPr>
          <w:rFonts w:ascii="Times New Roman" w:hAnsi="Times New Roman" w:cs="Times New Roman"/>
          <w:b/>
        </w:rPr>
        <w:t>sFigure</w:t>
      </w:r>
      <w:proofErr w:type="spellEnd"/>
      <w:proofErr w:type="gramEnd"/>
      <w:r w:rsidRPr="00C258EA">
        <w:rPr>
          <w:rFonts w:ascii="Times New Roman" w:hAnsi="Times New Roman" w:cs="Times New Roman"/>
          <w:b/>
        </w:rPr>
        <w:t xml:space="preserve"> 1</w:t>
      </w:r>
    </w:p>
    <w:p w14:paraId="24FB2508" w14:textId="77777777" w:rsidR="0036050E" w:rsidRPr="00C258EA" w:rsidRDefault="0036050E" w:rsidP="0036050E">
      <w:pPr>
        <w:spacing w:line="480" w:lineRule="auto"/>
        <w:rPr>
          <w:rFonts w:ascii="Times New Roman" w:hAnsi="Times New Roman" w:cs="Times New Roman"/>
        </w:rPr>
      </w:pPr>
      <w:r w:rsidRPr="00C258EA">
        <w:rPr>
          <w:rFonts w:ascii="Times New Roman" w:hAnsi="Times New Roman" w:cs="Times New Roman"/>
          <w:noProof/>
        </w:rPr>
        <w:drawing>
          <wp:inline distT="0" distB="0" distL="0" distR="0" wp14:anchorId="4CD0AE7D" wp14:editId="7CC2C34E">
            <wp:extent cx="5265420" cy="3728085"/>
            <wp:effectExtent l="0" t="0" r="0" b="5715"/>
            <wp:docPr id="5" name="Picture 5" descr="Macintosh HD:Users:joakimcrona:Desktop:Namnlöst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kimcrona:Desktop:Namnlöst2.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420" cy="3728085"/>
                    </a:xfrm>
                    <a:prstGeom prst="rect">
                      <a:avLst/>
                    </a:prstGeom>
                    <a:noFill/>
                    <a:ln>
                      <a:noFill/>
                    </a:ln>
                  </pic:spPr>
                </pic:pic>
              </a:graphicData>
            </a:graphic>
          </wp:inline>
        </w:drawing>
      </w:r>
    </w:p>
    <w:p w14:paraId="51C875CD" w14:textId="77777777" w:rsidR="0036050E" w:rsidRPr="00C258EA" w:rsidRDefault="0036050E" w:rsidP="0036050E">
      <w:pPr>
        <w:spacing w:line="480" w:lineRule="auto"/>
        <w:rPr>
          <w:rFonts w:ascii="Times New Roman" w:hAnsi="Times New Roman" w:cs="Times New Roman"/>
        </w:rPr>
      </w:pPr>
      <w:proofErr w:type="gramStart"/>
      <w:r w:rsidRPr="00C258EA">
        <w:rPr>
          <w:rFonts w:ascii="Times New Roman" w:hAnsi="Times New Roman" w:cs="Times New Roman"/>
        </w:rPr>
        <w:t>Assessment of selection bias through comparison of case–control cohort to a bias–control group.</w:t>
      </w:r>
      <w:proofErr w:type="gramEnd"/>
      <w:r w:rsidRPr="00C258EA">
        <w:rPr>
          <w:rFonts w:ascii="Times New Roman" w:hAnsi="Times New Roman" w:cs="Times New Roman"/>
        </w:rPr>
        <w:t xml:space="preserve"> Among study cohort and control group patients with grade 1–2 and stage IV at baseline were selected for analysis. Thirty-six patients remained. In the bias control cohort, 119 were excluded due to stage (I–III 104 patients and unknown 15 patients), 27 had unknown grade, and 26 were grade 3 at diagnosis. One hundred and six patients remained in the control group.</w:t>
      </w:r>
      <w:r w:rsidRPr="00C258EA">
        <w:rPr>
          <w:rFonts w:ascii="Times New Roman" w:hAnsi="Times New Roman" w:cs="Times New Roman"/>
        </w:rPr>
        <w:br w:type="page"/>
      </w:r>
    </w:p>
    <w:p w14:paraId="125C27C5" w14:textId="77777777" w:rsidR="0036050E" w:rsidRPr="00C258EA" w:rsidRDefault="0036050E" w:rsidP="0036050E">
      <w:pPr>
        <w:rPr>
          <w:rFonts w:ascii="Times New Roman" w:hAnsi="Times New Roman" w:cs="Times New Roman"/>
        </w:rPr>
      </w:pPr>
      <w:proofErr w:type="spellStart"/>
      <w:proofErr w:type="gramStart"/>
      <w:r w:rsidRPr="00C258EA">
        <w:rPr>
          <w:rFonts w:ascii="Times New Roman" w:hAnsi="Times New Roman" w:cs="Times New Roman"/>
          <w:b/>
        </w:rPr>
        <w:t>sFigure</w:t>
      </w:r>
      <w:proofErr w:type="spellEnd"/>
      <w:proofErr w:type="gramEnd"/>
      <w:r w:rsidRPr="00C258EA">
        <w:rPr>
          <w:rFonts w:ascii="Times New Roman" w:hAnsi="Times New Roman" w:cs="Times New Roman"/>
          <w:b/>
        </w:rPr>
        <w:t xml:space="preserve"> 2</w:t>
      </w:r>
    </w:p>
    <w:p w14:paraId="746E726D" w14:textId="77777777" w:rsidR="0036050E" w:rsidRPr="00C258EA" w:rsidRDefault="0036050E" w:rsidP="0036050E">
      <w:pPr>
        <w:spacing w:line="480" w:lineRule="auto"/>
        <w:rPr>
          <w:rFonts w:ascii="Times New Roman" w:hAnsi="Times New Roman" w:cs="Times New Roman"/>
        </w:rPr>
      </w:pPr>
      <w:r w:rsidRPr="00C258EA">
        <w:rPr>
          <w:noProof/>
        </w:rPr>
        <w:drawing>
          <wp:inline distT="0" distB="0" distL="0" distR="0" wp14:anchorId="56CB75A1" wp14:editId="566C89B6">
            <wp:extent cx="4565718" cy="3341354"/>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4565110" cy="3340909"/>
                    </a:xfrm>
                    <a:prstGeom prst="rect">
                      <a:avLst/>
                    </a:prstGeom>
                  </pic:spPr>
                </pic:pic>
              </a:graphicData>
            </a:graphic>
          </wp:inline>
        </w:drawing>
      </w:r>
    </w:p>
    <w:p w14:paraId="4C28B2D6" w14:textId="77777777" w:rsidR="0036050E" w:rsidRPr="00502729" w:rsidRDefault="0036050E" w:rsidP="0036050E">
      <w:pPr>
        <w:spacing w:line="480" w:lineRule="auto"/>
      </w:pPr>
      <w:proofErr w:type="gramStart"/>
      <w:r w:rsidRPr="00C258EA">
        <w:rPr>
          <w:rFonts w:ascii="Times New Roman" w:hAnsi="Times New Roman" w:cs="Times New Roman"/>
        </w:rPr>
        <w:t>Kaplan-Meier curve of overall of the study cohort and bias–control (Control) group.</w:t>
      </w:r>
      <w:proofErr w:type="gramEnd"/>
      <w:r w:rsidRPr="00C258EA">
        <w:rPr>
          <w:rFonts w:ascii="Times New Roman" w:hAnsi="Times New Roman" w:cs="Times New Roman"/>
        </w:rPr>
        <w:t xml:space="preserve"> Median survival of the study cohort was </w:t>
      </w:r>
      <w:r w:rsidRPr="00C258EA">
        <w:rPr>
          <w:rFonts w:ascii="Times New Roman" w:eastAsia="Times New Roman" w:hAnsi="Times New Roman" w:cs="Times New Roman"/>
        </w:rPr>
        <w:t>71.1 (95% CI 50.1</w:t>
      </w:r>
      <w:r w:rsidRPr="00C258EA">
        <w:rPr>
          <w:rFonts w:ascii="Times New Roman" w:hAnsi="Times New Roman" w:cs="Times New Roman"/>
        </w:rPr>
        <w:t>–</w:t>
      </w:r>
      <w:r w:rsidRPr="00C258EA">
        <w:rPr>
          <w:rFonts w:ascii="Times New Roman" w:eastAsia="Times New Roman" w:hAnsi="Times New Roman" w:cs="Times New Roman"/>
        </w:rPr>
        <w:t>83.5) months and median survival of the control cohort was 55.6 (95% CI 45.9</w:t>
      </w:r>
      <w:r w:rsidRPr="00C258EA">
        <w:rPr>
          <w:rFonts w:ascii="Times New Roman" w:hAnsi="Times New Roman" w:cs="Times New Roman"/>
        </w:rPr>
        <w:t>–</w:t>
      </w:r>
      <w:r w:rsidRPr="00C258EA">
        <w:rPr>
          <w:rFonts w:ascii="Times New Roman" w:eastAsia="Times New Roman" w:hAnsi="Times New Roman" w:cs="Times New Roman"/>
        </w:rPr>
        <w:t xml:space="preserve">68.3) months. Cox Regression HR 0.96 (95% CI 0.63–1.46) </w:t>
      </w:r>
      <w:r w:rsidRPr="00C258EA">
        <w:rPr>
          <w:rFonts w:ascii="Times New Roman" w:eastAsia="Times New Roman" w:hAnsi="Times New Roman" w:cs="Times New Roman"/>
          <w:i/>
        </w:rPr>
        <w:t>p</w:t>
      </w:r>
      <w:r w:rsidRPr="00C258EA">
        <w:rPr>
          <w:rFonts w:ascii="Times New Roman" w:eastAsia="Times New Roman" w:hAnsi="Times New Roman" w:cs="Times New Roman"/>
        </w:rPr>
        <w:t>=0.840.</w:t>
      </w:r>
      <w:r w:rsidRPr="00C258EA" w:rsidDel="00222A5C">
        <w:rPr>
          <w:rStyle w:val="Heading2Char"/>
          <w:rFonts w:ascii="Times New Roman" w:hAnsi="Times New Roman" w:cs="Times New Roman"/>
        </w:rPr>
        <w:t xml:space="preserve"> </w:t>
      </w:r>
      <w:bookmarkStart w:id="2" w:name="_GoBack"/>
      <w:bookmarkEnd w:id="2"/>
    </w:p>
    <w:p w14:paraId="5061A3AB" w14:textId="77777777" w:rsidR="008A6201" w:rsidRDefault="008A6201"/>
    <w:sectPr w:rsidR="008A6201" w:rsidSect="00BA55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0E"/>
    <w:rsid w:val="0036050E"/>
    <w:rsid w:val="00727F66"/>
    <w:rsid w:val="008A6201"/>
    <w:rsid w:val="00B54556"/>
    <w:rsid w:val="00BA55C4"/>
    <w:rsid w:val="00C2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9D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0E"/>
  </w:style>
  <w:style w:type="paragraph" w:styleId="Heading2">
    <w:name w:val="heading 2"/>
    <w:basedOn w:val="Normal"/>
    <w:next w:val="Normal"/>
    <w:link w:val="Heading2Char"/>
    <w:uiPriority w:val="9"/>
    <w:unhideWhenUsed/>
    <w:qFormat/>
    <w:rsid w:val="00360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50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6050E"/>
    <w:rPr>
      <w:sz w:val="18"/>
      <w:szCs w:val="18"/>
    </w:rPr>
  </w:style>
  <w:style w:type="table" w:styleId="TableGrid">
    <w:name w:val="Table Grid"/>
    <w:basedOn w:val="TableNormal"/>
    <w:uiPriority w:val="59"/>
    <w:rsid w:val="0036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5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0E"/>
  </w:style>
  <w:style w:type="paragraph" w:styleId="Heading2">
    <w:name w:val="heading 2"/>
    <w:basedOn w:val="Normal"/>
    <w:next w:val="Normal"/>
    <w:link w:val="Heading2Char"/>
    <w:uiPriority w:val="9"/>
    <w:unhideWhenUsed/>
    <w:qFormat/>
    <w:rsid w:val="00360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50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6050E"/>
    <w:rPr>
      <w:sz w:val="18"/>
      <w:szCs w:val="18"/>
    </w:rPr>
  </w:style>
  <w:style w:type="table" w:styleId="TableGrid">
    <w:name w:val="Table Grid"/>
    <w:basedOn w:val="TableNormal"/>
    <w:uiPriority w:val="59"/>
    <w:rsid w:val="0036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5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1386</Words>
  <Characters>7904</Characters>
  <Application>Microsoft Macintosh Word</Application>
  <DocSecurity>0</DocSecurity>
  <Lines>65</Lines>
  <Paragraphs>18</Paragraphs>
  <ScaleCrop>false</ScaleCrop>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Crona</dc:creator>
  <cp:keywords/>
  <dc:description/>
  <cp:lastModifiedBy>Joakim Crona</cp:lastModifiedBy>
  <cp:revision>4</cp:revision>
  <dcterms:created xsi:type="dcterms:W3CDTF">2019-10-23T15:15:00Z</dcterms:created>
  <dcterms:modified xsi:type="dcterms:W3CDTF">2019-10-28T12:50:00Z</dcterms:modified>
</cp:coreProperties>
</file>