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78" w:rsidRPr="009C145E" w:rsidRDefault="00FB0F78" w:rsidP="00FB0F7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145E">
        <w:rPr>
          <w:rFonts w:asciiTheme="majorBidi" w:hAnsiTheme="majorBidi" w:cstheme="majorBidi"/>
          <w:b/>
          <w:bCs/>
          <w:sz w:val="24"/>
          <w:szCs w:val="24"/>
        </w:rPr>
        <w:t>Materials and Methods</w:t>
      </w:r>
    </w:p>
    <w:p w:rsidR="008D4BB0" w:rsidRDefault="008D4BB0" w:rsidP="008E1F66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66">
        <w:rPr>
          <w:rFonts w:ascii="Times New Roman" w:hAnsi="Times New Roman" w:cs="Times New Roman"/>
          <w:sz w:val="24"/>
          <w:szCs w:val="24"/>
        </w:rPr>
        <w:t xml:space="preserve">This </w:t>
      </w:r>
      <w:r w:rsidRPr="008E1F66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6724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1F66">
        <w:rPr>
          <w:rFonts w:ascii="Times New Roman" w:hAnsi="Times New Roman" w:cs="Times New Roman"/>
          <w:color w:val="000000" w:themeColor="text1"/>
          <w:sz w:val="24"/>
          <w:szCs w:val="24"/>
        </w:rPr>
        <w:t>control study</w:t>
      </w:r>
      <w:r w:rsidRPr="008E1F66">
        <w:rPr>
          <w:rFonts w:ascii="Times New Roman" w:hAnsi="Times New Roman" w:cs="Times New Roman"/>
          <w:sz w:val="24"/>
          <w:szCs w:val="24"/>
        </w:rPr>
        <w:t xml:space="preserve"> was approved by the Dermatology Research Ethics Committee, Faculty of Medicine, Cairo University. The patients and controls were consecutively recruited from the</w:t>
      </w:r>
      <w:r w:rsidR="006724F8" w:rsidRPr="008E1F66">
        <w:rPr>
          <w:rFonts w:ascii="Times New Roman" w:hAnsi="Times New Roman" w:cs="Times New Roman"/>
          <w:sz w:val="24"/>
          <w:szCs w:val="24"/>
        </w:rPr>
        <w:t xml:space="preserve"> Derma</w:t>
      </w:r>
      <w:bookmarkStart w:id="0" w:name="_GoBack"/>
      <w:bookmarkEnd w:id="0"/>
      <w:r w:rsidR="006724F8" w:rsidRPr="008E1F66">
        <w:rPr>
          <w:rFonts w:ascii="Times New Roman" w:hAnsi="Times New Roman" w:cs="Times New Roman"/>
          <w:sz w:val="24"/>
          <w:szCs w:val="24"/>
        </w:rPr>
        <w:t>tology Outpatient Clinic,</w:t>
      </w:r>
      <w:r w:rsidRPr="008E1F66">
        <w:rPr>
          <w:rFonts w:ascii="Times New Roman" w:hAnsi="Times New Roman" w:cs="Times New Roman"/>
          <w:sz w:val="24"/>
          <w:szCs w:val="24"/>
        </w:rPr>
        <w:t xml:space="preserve"> Cairo University Hospital, </w:t>
      </w:r>
      <w:r w:rsidRPr="008E1F66">
        <w:rPr>
          <w:rFonts w:ascii="Times New Roman" w:hAnsi="Times New Roman" w:cs="Times New Roman"/>
          <w:spacing w:val="3"/>
          <w:sz w:val="24"/>
          <w:szCs w:val="24"/>
        </w:rPr>
        <w:t>and w</w:t>
      </w:r>
      <w:r w:rsidR="007353A9">
        <w:rPr>
          <w:rFonts w:ascii="Times New Roman" w:hAnsi="Times New Roman" w:cs="Times New Roman"/>
          <w:sz w:val="24"/>
          <w:szCs w:val="24"/>
        </w:rPr>
        <w:t xml:space="preserve">ritten </w:t>
      </w:r>
      <w:r w:rsidRPr="008E1F66">
        <w:rPr>
          <w:rFonts w:ascii="Times New Roman" w:hAnsi="Times New Roman" w:cs="Times New Roman"/>
          <w:sz w:val="24"/>
          <w:szCs w:val="24"/>
        </w:rPr>
        <w:t>informed consents were signed by participants before starting the study.</w:t>
      </w:r>
    </w:p>
    <w:p w:rsidR="008E1F66" w:rsidRPr="008E1F66" w:rsidRDefault="008E1F66" w:rsidP="00F7577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BB0" w:rsidRPr="00801642" w:rsidRDefault="008D4BB0" w:rsidP="00801642">
      <w:pPr>
        <w:tabs>
          <w:tab w:val="righ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F66">
        <w:rPr>
          <w:rFonts w:ascii="Times New Roman" w:hAnsi="Times New Roman" w:cs="Times New Roman"/>
          <w:sz w:val="24"/>
          <w:szCs w:val="24"/>
        </w:rPr>
        <w:t xml:space="preserve">The study included 70 patients with various stages of </w:t>
      </w:r>
      <w:r w:rsidR="006724F8">
        <w:rPr>
          <w:rFonts w:ascii="Times New Roman" w:hAnsi="Times New Roman" w:cs="Times New Roman"/>
          <w:sz w:val="24"/>
          <w:szCs w:val="24"/>
        </w:rPr>
        <w:t>mycosis fungoides (</w:t>
      </w:r>
      <w:r w:rsidRPr="008E1F66">
        <w:rPr>
          <w:rFonts w:ascii="Times New Roman" w:hAnsi="Times New Roman" w:cs="Times New Roman"/>
          <w:sz w:val="24"/>
          <w:szCs w:val="24"/>
        </w:rPr>
        <w:t>MF</w:t>
      </w:r>
      <w:r w:rsidR="006724F8">
        <w:rPr>
          <w:rFonts w:ascii="Times New Roman" w:hAnsi="Times New Roman" w:cs="Times New Roman"/>
          <w:sz w:val="24"/>
          <w:szCs w:val="24"/>
        </w:rPr>
        <w:t>)</w:t>
      </w:r>
      <w:r w:rsidRPr="008E1F66">
        <w:rPr>
          <w:rFonts w:ascii="Times New Roman" w:hAnsi="Times New Roman" w:cs="Times New Roman"/>
          <w:sz w:val="24"/>
          <w:szCs w:val="24"/>
        </w:rPr>
        <w:t xml:space="preserve">. Each patient was subjected to complete history taking </w:t>
      </w:r>
      <w:r w:rsidR="006724F8">
        <w:rPr>
          <w:rFonts w:ascii="Times New Roman" w:hAnsi="Times New Roman" w:cs="Times New Roman"/>
          <w:sz w:val="24"/>
          <w:szCs w:val="24"/>
        </w:rPr>
        <w:t xml:space="preserve">and </w:t>
      </w:r>
      <w:r w:rsidRPr="008E1F66">
        <w:rPr>
          <w:rFonts w:ascii="Times New Roman" w:hAnsi="Times New Roman" w:cs="Times New Roman"/>
          <w:sz w:val="24"/>
          <w:szCs w:val="24"/>
        </w:rPr>
        <w:t>full clinical examination to detect the extent and type of MF.</w:t>
      </w:r>
      <w:r w:rsidR="006724F8">
        <w:rPr>
          <w:rFonts w:ascii="Times New Roman" w:hAnsi="Times New Roman" w:cs="Times New Roman"/>
          <w:sz w:val="24"/>
          <w:szCs w:val="24"/>
        </w:rPr>
        <w:t xml:space="preserve"> </w:t>
      </w:r>
      <w:r w:rsidRPr="008E1F66">
        <w:rPr>
          <w:rFonts w:asciiTheme="majorBidi" w:hAnsiTheme="majorBidi" w:cstheme="majorBidi"/>
          <w:sz w:val="24"/>
          <w:szCs w:val="24"/>
          <w:lang w:bidi="ar-EG"/>
        </w:rPr>
        <w:t xml:space="preserve">Diagnosing MF in our department depends mainly on constellation of clinical and histopathological features as described in </w:t>
      </w:r>
      <w:r w:rsidR="006724F8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Pr="008E1F66">
        <w:rPr>
          <w:rFonts w:asciiTheme="majorBidi" w:hAnsiTheme="majorBidi" w:cstheme="majorBidi"/>
          <w:sz w:val="24"/>
          <w:szCs w:val="24"/>
          <w:lang w:bidi="ar-EG"/>
        </w:rPr>
        <w:t xml:space="preserve">literature </w:t>
      </w:r>
      <w:r w:rsidR="00DE7556" w:rsidRPr="008E1F66">
        <w:rPr>
          <w:rFonts w:ascii="Times New Roman" w:hAnsi="Times New Roman" w:cs="Times New Roman"/>
          <w:spacing w:val="3"/>
          <w:sz w:val="24"/>
          <w:szCs w:val="24"/>
        </w:rPr>
        <w:t xml:space="preserve">[12]. </w:t>
      </w:r>
      <w:r w:rsidRPr="008E1F66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bidi="ar-EG"/>
        </w:rPr>
        <w:t xml:space="preserve"> </w:t>
      </w:r>
      <w:r w:rsidRPr="008E1F66">
        <w:rPr>
          <w:rFonts w:asciiTheme="majorBidi" w:hAnsiTheme="majorBidi" w:cstheme="majorBidi"/>
          <w:sz w:val="24"/>
          <w:szCs w:val="24"/>
          <w:lang w:bidi="ar-EG"/>
        </w:rPr>
        <w:t>Immunohistochemical staining with anti-CD3, CD5, CD7, CD4, CD8</w:t>
      </w:r>
      <w:r w:rsidR="006724F8"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8E1F66">
        <w:rPr>
          <w:rFonts w:asciiTheme="majorBidi" w:hAnsiTheme="majorBidi" w:cstheme="majorBidi"/>
          <w:sz w:val="24"/>
          <w:szCs w:val="24"/>
          <w:lang w:bidi="ar-EG"/>
        </w:rPr>
        <w:t xml:space="preserve"> or CD30 monoclonal antibodies and TCR gene rearrangement studies are done only for selected cases when indicated.</w:t>
      </w:r>
      <w:r w:rsidR="006724F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</w:rPr>
        <w:t>Staging of MF was further completed by lymph node examination and biopsy (when indicated). Laboratory investigations (complete blood picture, liver and kidney function tests, fasting and 2</w:t>
      </w:r>
      <w:r w:rsidR="006724F8">
        <w:rPr>
          <w:rFonts w:ascii="Times New Roman" w:hAnsi="Times New Roman" w:cs="Times New Roman"/>
          <w:sz w:val="24"/>
          <w:szCs w:val="24"/>
        </w:rPr>
        <w:t>-</w:t>
      </w:r>
      <w:r w:rsidRPr="008E1F66">
        <w:rPr>
          <w:rFonts w:ascii="Times New Roman" w:hAnsi="Times New Roman" w:cs="Times New Roman"/>
          <w:sz w:val="24"/>
          <w:szCs w:val="24"/>
        </w:rPr>
        <w:t>hour postprandial blood sugar levels</w:t>
      </w:r>
      <w:r w:rsidR="009C145E">
        <w:rPr>
          <w:rFonts w:ascii="Times New Roman" w:hAnsi="Times New Roman" w:cs="Times New Roman"/>
          <w:sz w:val="24"/>
          <w:szCs w:val="24"/>
        </w:rPr>
        <w:t>,</w:t>
      </w:r>
      <w:r w:rsidRPr="008E1F66">
        <w:rPr>
          <w:rFonts w:ascii="Times New Roman" w:hAnsi="Times New Roman" w:cs="Times New Roman"/>
          <w:sz w:val="24"/>
          <w:szCs w:val="24"/>
        </w:rPr>
        <w:t xml:space="preserve"> and lactate dehydrogenase expression)</w:t>
      </w:r>
      <w:r w:rsidR="006724F8">
        <w:rPr>
          <w:rFonts w:ascii="Times New Roman" w:hAnsi="Times New Roman" w:cs="Times New Roman"/>
          <w:sz w:val="24"/>
          <w:szCs w:val="24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</w:rPr>
        <w:t>as well as radiological investigations (chest X-ray and abdominal ultrasound) were carried out. Accordingly, s</w:t>
      </w:r>
      <w:r w:rsidRPr="008E1F66">
        <w:rPr>
          <w:rFonts w:ascii="Times New Roman" w:hAnsi="Times New Roman" w:cs="Times New Roman"/>
          <w:spacing w:val="3"/>
          <w:sz w:val="24"/>
          <w:szCs w:val="24"/>
        </w:rPr>
        <w:t>taging of MF was determined in each patient foll</w:t>
      </w:r>
      <w:r w:rsidR="00DE7556" w:rsidRPr="008E1F66">
        <w:rPr>
          <w:rFonts w:ascii="Times New Roman" w:hAnsi="Times New Roman" w:cs="Times New Roman"/>
          <w:spacing w:val="3"/>
          <w:sz w:val="24"/>
          <w:szCs w:val="24"/>
        </w:rPr>
        <w:t>owing the TNM staging system [12</w:t>
      </w:r>
      <w:r w:rsidRPr="008E1F66">
        <w:rPr>
          <w:rFonts w:ascii="Times New Roman" w:hAnsi="Times New Roman" w:cs="Times New Roman"/>
          <w:spacing w:val="3"/>
          <w:sz w:val="24"/>
          <w:szCs w:val="24"/>
        </w:rPr>
        <w:t>].</w:t>
      </w:r>
      <w:r w:rsidR="00DE7556" w:rsidRPr="008E1F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The </w:t>
      </w:r>
      <w:r w:rsidRPr="008E1F66">
        <w:rPr>
          <w:rFonts w:ascii="Times New Roman" w:hAnsi="Times New Roman" w:cs="Times New Roman"/>
          <w:sz w:val="24"/>
          <w:szCs w:val="24"/>
        </w:rPr>
        <w:t>control</w:t>
      </w:r>
      <w:r w:rsidR="00F21F2F">
        <w:rPr>
          <w:rFonts w:ascii="Times New Roman" w:hAnsi="Times New Roman" w:cs="Times New Roman"/>
          <w:sz w:val="24"/>
          <w:szCs w:val="24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</w:rPr>
        <w:t>group comprised 100 apparently healthy volunteers.</w:t>
      </w:r>
      <w:r w:rsidR="00F21F2F">
        <w:rPr>
          <w:rFonts w:ascii="Times New Roman" w:hAnsi="Times New Roman" w:cs="Times New Roman"/>
          <w:sz w:val="24"/>
          <w:szCs w:val="24"/>
        </w:rPr>
        <w:t xml:space="preserve"> </w:t>
      </w:r>
      <w:r w:rsidR="00F21F2F" w:rsidRPr="009C145E">
        <w:rPr>
          <w:rFonts w:ascii="Times New Roman" w:hAnsi="Times New Roman" w:cs="Times New Roman"/>
          <w:color w:val="000000" w:themeColor="text1"/>
          <w:sz w:val="24"/>
          <w:szCs w:val="24"/>
        </w:rPr>
        <w:t>Individuals with past or present history of hematopoietic or solid malignancies were excluded from the control group.</w:t>
      </w:r>
    </w:p>
    <w:p w:rsidR="008D4BB0" w:rsidRPr="008E1F66" w:rsidRDefault="008D4BB0" w:rsidP="008D4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B0" w:rsidRPr="00FE0A51" w:rsidRDefault="008D4BB0" w:rsidP="008D4B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FE0A51">
        <w:rPr>
          <w:rFonts w:ascii="Times New Roman" w:hAnsi="Times New Roman" w:cs="Times New Roman"/>
          <w:i/>
          <w:sz w:val="24"/>
          <w:szCs w:val="24"/>
          <w:lang w:bidi="ar-EG"/>
        </w:rPr>
        <w:t xml:space="preserve">DNA </w:t>
      </w:r>
      <w:r w:rsidR="00FE0A51" w:rsidRPr="00FE0A51">
        <w:rPr>
          <w:rFonts w:ascii="Times New Roman" w:hAnsi="Times New Roman" w:cs="Times New Roman"/>
          <w:i/>
          <w:sz w:val="24"/>
          <w:szCs w:val="24"/>
          <w:lang w:bidi="ar-EG"/>
        </w:rPr>
        <w:t>Extraction</w:t>
      </w:r>
    </w:p>
    <w:p w:rsidR="008D4BB0" w:rsidRPr="008E1F66" w:rsidRDefault="00FE0A51" w:rsidP="008D4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Venous 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blood samples </w:t>
      </w:r>
      <w:r>
        <w:rPr>
          <w:rFonts w:ascii="Times New Roman" w:hAnsi="Times New Roman" w:cs="Times New Roman"/>
          <w:sz w:val="24"/>
          <w:szCs w:val="24"/>
          <w:lang w:bidi="ar-EG"/>
        </w:rPr>
        <w:t>(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2 m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>)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>were collected in the morning into EDTA vacutainer tubes used for genomic DNA extraction.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>Extraction of genomic DNA from whole blood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was carried out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using spin column</w:t>
      </w:r>
      <w:r w:rsidR="008157C8">
        <w:rPr>
          <w:rFonts w:ascii="Times New Roman" w:hAnsi="Times New Roman" w:cs="Times New Roman"/>
          <w:sz w:val="24"/>
          <w:szCs w:val="24"/>
          <w:lang w:bidi="ar-EG"/>
        </w:rPr>
        <w:t>-based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8157C8"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purification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with the 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QIA gene extraction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kit</w:t>
      </w:r>
      <w:r w:rsidR="008D4BB0" w:rsidRPr="008E1F66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8D4BB0" w:rsidRPr="00FE0A51" w:rsidRDefault="008D4BB0" w:rsidP="008D4B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FE0A51">
        <w:rPr>
          <w:rFonts w:ascii="Times New Roman" w:hAnsi="Times New Roman" w:cs="Times New Roman"/>
          <w:i/>
          <w:sz w:val="24"/>
          <w:szCs w:val="24"/>
          <w:lang w:bidi="ar-EG"/>
        </w:rPr>
        <w:t xml:space="preserve">Genotyping of </w:t>
      </w:r>
      <w:r w:rsidR="00FE0A51">
        <w:rPr>
          <w:rFonts w:ascii="Times New Roman" w:hAnsi="Times New Roman" w:cs="Times New Roman"/>
          <w:i/>
          <w:sz w:val="24"/>
          <w:szCs w:val="24"/>
          <w:lang w:bidi="ar-EG"/>
        </w:rPr>
        <w:t>–</w:t>
      </w:r>
      <w:r w:rsidRPr="00FE0A51">
        <w:rPr>
          <w:rFonts w:ascii="Times New Roman" w:hAnsi="Times New Roman" w:cs="Times New Roman"/>
          <w:i/>
          <w:sz w:val="24"/>
          <w:szCs w:val="24"/>
          <w:lang w:bidi="ar-EG"/>
        </w:rPr>
        <w:t xml:space="preserve">765G&gt;C and </w:t>
      </w:r>
      <w:r w:rsidR="00FE0A51">
        <w:rPr>
          <w:rFonts w:ascii="Times New Roman" w:hAnsi="Times New Roman" w:cs="Times New Roman"/>
          <w:i/>
          <w:sz w:val="24"/>
          <w:szCs w:val="24"/>
          <w:lang w:bidi="ar-EG"/>
        </w:rPr>
        <w:t>–</w:t>
      </w:r>
      <w:r w:rsidRPr="00FE0A51">
        <w:rPr>
          <w:rFonts w:ascii="Times New Roman" w:hAnsi="Times New Roman" w:cs="Times New Roman"/>
          <w:i/>
          <w:sz w:val="24"/>
          <w:szCs w:val="24"/>
          <w:lang w:bidi="ar-EG"/>
        </w:rPr>
        <w:t xml:space="preserve">1195A&gt;G </w:t>
      </w:r>
      <w:r w:rsidR="00FE0A51" w:rsidRPr="00FE0A51">
        <w:rPr>
          <w:rFonts w:ascii="Times New Roman" w:hAnsi="Times New Roman" w:cs="Times New Roman"/>
          <w:i/>
          <w:sz w:val="24"/>
          <w:szCs w:val="24"/>
          <w:lang w:bidi="ar-EG"/>
        </w:rPr>
        <w:t>P</w:t>
      </w:r>
      <w:r w:rsidRPr="00FE0A51">
        <w:rPr>
          <w:rFonts w:ascii="Times New Roman" w:hAnsi="Times New Roman" w:cs="Times New Roman"/>
          <w:i/>
          <w:sz w:val="24"/>
          <w:szCs w:val="24"/>
          <w:lang w:bidi="ar-EG"/>
        </w:rPr>
        <w:t>olymorphisms</w:t>
      </w:r>
    </w:p>
    <w:p w:rsidR="008D4BB0" w:rsidRPr="008E1F66" w:rsidRDefault="008D4BB0" w:rsidP="008D4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E1F66">
        <w:rPr>
          <w:rFonts w:ascii="Times New Roman" w:hAnsi="Times New Roman" w:cs="Times New Roman"/>
          <w:sz w:val="24"/>
          <w:szCs w:val="24"/>
          <w:lang w:bidi="ar-EG"/>
        </w:rPr>
        <w:t>Restriction fragment length polymorphism PCR analysis was used to amplify the COX</w:t>
      </w:r>
      <w:r w:rsidR="00FE0A51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2 polymorphisms (</w:t>
      </w:r>
      <w:r w:rsidR="00FE0A51">
        <w:rPr>
          <w:rFonts w:ascii="Times New Roman" w:hAnsi="Times New Roman" w:cs="Times New Roman"/>
          <w:sz w:val="24"/>
          <w:szCs w:val="24"/>
          <w:lang w:bidi="ar-EG"/>
        </w:rPr>
        <w:t>–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765G&gt;C </w:t>
      </w:r>
      <w:r w:rsidR="00FE0A51">
        <w:rPr>
          <w:rFonts w:ascii="Times New Roman" w:hAnsi="Times New Roman" w:cs="Times New Roman"/>
          <w:sz w:val="24"/>
          <w:szCs w:val="24"/>
          <w:lang w:bidi="ar-EG"/>
        </w:rPr>
        <w:t>and –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1195A&gt;G) according to the method </w:t>
      </w:r>
      <w:r w:rsidR="00D1402D">
        <w:rPr>
          <w:rFonts w:ascii="Times New Roman" w:hAnsi="Times New Roman" w:cs="Times New Roman"/>
          <w:sz w:val="24"/>
          <w:szCs w:val="24"/>
          <w:lang w:bidi="ar-EG"/>
        </w:rPr>
        <w:t>described in the literature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[12].</w:t>
      </w:r>
      <w:r w:rsidR="008157C8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The following primers were used to amplify the target fragments containing these two polymorphisms: 5</w:t>
      </w:r>
      <w:r w:rsidR="00B6224C">
        <w:rPr>
          <w:rFonts w:ascii="Segoe UI" w:hAnsi="Segoe UI" w:cs="Segoe UI"/>
          <w:sz w:val="24"/>
          <w:szCs w:val="24"/>
          <w:lang w:bidi="ar-EG"/>
        </w:rPr>
        <w:t>′-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TCTCACCCTCA-CATGCTCCT-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lastRenderedPageBreak/>
        <w:t>30 (forward) and 5</w:t>
      </w:r>
      <w:r w:rsidR="00B6224C">
        <w:rPr>
          <w:rFonts w:ascii="Segoe UI" w:hAnsi="Segoe UI" w:cs="Segoe UI"/>
          <w:sz w:val="24"/>
          <w:szCs w:val="24"/>
          <w:lang w:bidi="ar-EG"/>
        </w:rPr>
        <w:t>′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-TCTTTTCTGTCCACTTTTCCAA-3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(reverse) for COX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2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–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1195A&gt;G;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5</w:t>
      </w:r>
      <w:r w:rsidR="00B6224C">
        <w:rPr>
          <w:rFonts w:ascii="Segoe UI" w:hAnsi="Segoe UI" w:cs="Segoe UI"/>
          <w:sz w:val="24"/>
          <w:szCs w:val="24"/>
          <w:lang w:bidi="ar-EG"/>
        </w:rPr>
        <w:t>′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-ATGAGGAGAATTTACCTTTCGC-3 (forward) and 50</w:t>
      </w:r>
      <w:r w:rsidR="00B6224C">
        <w:rPr>
          <w:rFonts w:ascii="Segoe UI" w:hAnsi="Segoe UI" w:cs="Segoe UI"/>
          <w:sz w:val="24"/>
          <w:szCs w:val="24"/>
          <w:lang w:bidi="ar-EG"/>
        </w:rPr>
        <w:t>′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-TTTTGTGGAATGAAATAGCTACCT-3 (reverse) for COX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2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–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765G&gt;C.</w:t>
      </w:r>
    </w:p>
    <w:p w:rsidR="008D4BB0" w:rsidRPr="008E1F66" w:rsidRDefault="008D4BB0" w:rsidP="008D4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E1F66">
        <w:rPr>
          <w:rFonts w:ascii="Times New Roman" w:hAnsi="Times New Roman" w:cs="Times New Roman"/>
          <w:sz w:val="24"/>
          <w:szCs w:val="24"/>
          <w:lang w:bidi="ar-EG"/>
        </w:rPr>
        <w:t>The PCR was performed in a total volume of 25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µL using 10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pmol of each primer, 1.5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mM Hg</w:t>
      </w:r>
      <w:r w:rsidR="00B6224C" w:rsidRPr="008E1F66">
        <w:rPr>
          <w:rFonts w:ascii="Times New Roman" w:hAnsi="Times New Roman" w:cs="Times New Roman"/>
          <w:sz w:val="24"/>
          <w:szCs w:val="24"/>
          <w:lang w:bidi="ar-EG"/>
        </w:rPr>
        <w:t>C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l</w:t>
      </w:r>
      <w:r w:rsidRPr="00B6224C">
        <w:rPr>
          <w:rFonts w:ascii="Times New Roman" w:hAnsi="Times New Roman" w:cs="Times New Roman"/>
          <w:sz w:val="24"/>
          <w:szCs w:val="24"/>
          <w:vertAlign w:val="subscript"/>
          <w:lang w:bidi="ar-EG"/>
        </w:rPr>
        <w:t>2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, 200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µM dNTPs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and 2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U of Taq DNA polymerase. The conditions were as follows; 35 cycles, each consisting of denaturation at 94˚C for 30 s, annealing at 61˚C for 30 s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 and extension at 72˚C for 30 s. The reaction cycles were preceded by 5 min 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of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denaturation at 94˚C and were followed by 7 min 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 xml:space="preserve">of 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 xml:space="preserve">extension at 72˚C.  </w:t>
      </w:r>
    </w:p>
    <w:p w:rsidR="008D4BB0" w:rsidRPr="008E1F66" w:rsidRDefault="008D4BB0" w:rsidP="008D4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E1F66">
        <w:rPr>
          <w:rFonts w:ascii="Times New Roman" w:hAnsi="Times New Roman" w:cs="Times New Roman"/>
          <w:sz w:val="24"/>
          <w:szCs w:val="24"/>
          <w:lang w:bidi="ar-EG"/>
        </w:rPr>
        <w:t>The PCR products were confirmed by electroph</w:t>
      </w:r>
      <w:r w:rsidR="00B6224C">
        <w:rPr>
          <w:rFonts w:ascii="Times New Roman" w:hAnsi="Times New Roman" w:cs="Times New Roman"/>
          <w:sz w:val="24"/>
          <w:szCs w:val="24"/>
          <w:lang w:bidi="ar-EG"/>
        </w:rPr>
        <w:t>o</w:t>
      </w:r>
      <w:r w:rsidRPr="008E1F66">
        <w:rPr>
          <w:rFonts w:ascii="Times New Roman" w:hAnsi="Times New Roman" w:cs="Times New Roman"/>
          <w:sz w:val="24"/>
          <w:szCs w:val="24"/>
          <w:lang w:bidi="ar-EG"/>
        </w:rPr>
        <w:t>resis on 2% agarose gel and visualized by ethidium bromide staining.</w:t>
      </w:r>
    </w:p>
    <w:p w:rsidR="008C1DED" w:rsidRPr="00310FEF" w:rsidRDefault="009C524F" w:rsidP="00310FEF">
      <w:pPr>
        <w:pStyle w:val="Funotentext"/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E1F6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SPSS computer program (version 20; SPSS Inc., Chicago, IL, USA) was used for data analysis. </w:t>
      </w:r>
      <w:r w:rsidR="00B6224C" w:rsidRPr="00B6224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p</w:t>
      </w:r>
      <w:r w:rsidR="00B6224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8E1F6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&lt;</w:t>
      </w:r>
      <w:r w:rsidR="00B6224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8E1F6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0.05 was considered significant.</w:t>
      </w:r>
    </w:p>
    <w:sectPr w:rsidR="008C1DED" w:rsidRPr="00310FEF" w:rsidSect="008C1D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0"/>
    <w:rsid w:val="0013222B"/>
    <w:rsid w:val="00237AB1"/>
    <w:rsid w:val="00310FEF"/>
    <w:rsid w:val="00322095"/>
    <w:rsid w:val="00360C9C"/>
    <w:rsid w:val="005B48CE"/>
    <w:rsid w:val="00647F92"/>
    <w:rsid w:val="006724F8"/>
    <w:rsid w:val="006925E1"/>
    <w:rsid w:val="007353A9"/>
    <w:rsid w:val="00801642"/>
    <w:rsid w:val="008157C8"/>
    <w:rsid w:val="008C1DED"/>
    <w:rsid w:val="008D4BB0"/>
    <w:rsid w:val="008E1F66"/>
    <w:rsid w:val="009661D1"/>
    <w:rsid w:val="009B6FEC"/>
    <w:rsid w:val="009C145E"/>
    <w:rsid w:val="009C524F"/>
    <w:rsid w:val="00A219A7"/>
    <w:rsid w:val="00B6224C"/>
    <w:rsid w:val="00C539F7"/>
    <w:rsid w:val="00C6722B"/>
    <w:rsid w:val="00D1402D"/>
    <w:rsid w:val="00DA19DE"/>
    <w:rsid w:val="00DE7556"/>
    <w:rsid w:val="00F21F2F"/>
    <w:rsid w:val="00F75770"/>
    <w:rsid w:val="00FB0F78"/>
    <w:rsid w:val="00FE0A51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4FBD5"/>
  <w15:docId w15:val="{59AED8EE-DD9C-4604-A801-BE7B3DD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4BB0"/>
    <w:pPr>
      <w:spacing w:after="200" w:line="276" w:lineRule="auto"/>
      <w:ind w:left="0" w:firstLine="0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9C524F"/>
    <w:pPr>
      <w:bidi/>
    </w:pPr>
    <w:rPr>
      <w:rFonts w:ascii="Calibri" w:eastAsia="Calibri" w:hAnsi="Calibri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C524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DF13-B3F5-4FB2-976F-CA42FA13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Vera Warren</cp:lastModifiedBy>
  <cp:revision>9</cp:revision>
  <dcterms:created xsi:type="dcterms:W3CDTF">2019-11-14T19:50:00Z</dcterms:created>
  <dcterms:modified xsi:type="dcterms:W3CDTF">2019-12-09T10:26:00Z</dcterms:modified>
</cp:coreProperties>
</file>