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21C" w:rsidRDefault="006F521C" w:rsidP="006F521C">
      <w:pPr>
        <w:spacing w:after="0" w:line="48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val="en-GB"/>
        </w:rPr>
      </w:pPr>
      <w:r w:rsidRPr="00CF42A7"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val="en-GB"/>
        </w:rPr>
        <w:t>Materials and Methods</w:t>
      </w:r>
    </w:p>
    <w:p w:rsidR="00B7712A" w:rsidRDefault="00B7712A" w:rsidP="006F521C">
      <w:pPr>
        <w:spacing w:after="0" w:line="48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val="en-GB"/>
        </w:rPr>
      </w:pPr>
    </w:p>
    <w:p w:rsidR="004D446F" w:rsidRPr="00064243" w:rsidRDefault="004D446F" w:rsidP="004D446F">
      <w:pPr>
        <w:spacing w:after="0" w:line="480" w:lineRule="auto"/>
        <w:rPr>
          <w:rFonts w:cstheme="minorHAnsi"/>
          <w:color w:val="000000" w:themeColor="text1"/>
          <w:lang w:val="en-US"/>
        </w:rPr>
      </w:pPr>
      <w:r w:rsidRPr="00064243">
        <w:rPr>
          <w:rFonts w:eastAsia="Calibri" w:cstheme="minorHAnsi"/>
          <w:color w:val="000000" w:themeColor="text1"/>
          <w:lang w:val="en-GB"/>
        </w:rPr>
        <w:t xml:space="preserve">We conducted a case-control study of </w:t>
      </w:r>
      <w:r w:rsidRPr="00064243">
        <w:rPr>
          <w:rFonts w:eastAsia="Calibri" w:cstheme="minorHAnsi"/>
          <w:color w:val="000000" w:themeColor="text1"/>
          <w:lang w:val="en-US"/>
        </w:rPr>
        <w:t>105</w:t>
      </w:r>
      <w:r w:rsidRPr="00064243">
        <w:rPr>
          <w:rFonts w:eastAsia="Calibri" w:cstheme="minorHAnsi"/>
          <w:color w:val="000000" w:themeColor="text1"/>
          <w:lang w:val="en-GB"/>
        </w:rPr>
        <w:t xml:space="preserve"> patient volunteers (56 AD, 49 healthy controls (HC)) over 10 weeks of dermatological symptom presentation starting at symptom onset</w:t>
      </w:r>
      <w:r w:rsidRPr="00064243">
        <w:rPr>
          <w:rFonts w:eastAsia="Calibri" w:cstheme="minorHAnsi"/>
          <w:color w:val="000000" w:themeColor="text1"/>
          <w:lang w:val="en-US"/>
        </w:rPr>
        <w:t>.</w:t>
      </w:r>
      <w:r w:rsidRPr="00064243">
        <w:rPr>
          <w:rFonts w:eastAsia="Calibri" w:cstheme="minorHAnsi"/>
          <w:color w:val="000000" w:themeColor="text1"/>
          <w:lang w:val="en-GB"/>
        </w:rPr>
        <w:t xml:space="preserve"> </w:t>
      </w:r>
      <w:r w:rsidRPr="00064243">
        <w:rPr>
          <w:rFonts w:eastAsia="Calibri" w:cstheme="minorHAnsi"/>
          <w:color w:val="000000" w:themeColor="text1"/>
          <w:lang w:val="en-US"/>
        </w:rPr>
        <w:t>W</w:t>
      </w:r>
      <w:proofErr w:type="spellStart"/>
      <w:r w:rsidRPr="00064243">
        <w:rPr>
          <w:rFonts w:eastAsia="Calibri" w:cstheme="minorHAnsi"/>
          <w:color w:val="000000" w:themeColor="text1"/>
          <w:lang w:val="en-GB"/>
        </w:rPr>
        <w:t>ithin</w:t>
      </w:r>
      <w:proofErr w:type="spellEnd"/>
      <w:r w:rsidRPr="00064243">
        <w:rPr>
          <w:rFonts w:eastAsia="Calibri" w:cstheme="minorHAnsi"/>
          <w:color w:val="000000" w:themeColor="text1"/>
          <w:lang w:val="en-GB"/>
        </w:rPr>
        <w:t xml:space="preserve"> the framework of the set goal</w:t>
      </w:r>
      <w:r w:rsidR="00B7712A">
        <w:rPr>
          <w:rFonts w:eastAsia="Calibri" w:cstheme="minorHAnsi"/>
          <w:color w:val="000000" w:themeColor="text1"/>
          <w:lang w:val="en-GB"/>
        </w:rPr>
        <w:t>,</w:t>
      </w:r>
      <w:r w:rsidRPr="00064243">
        <w:rPr>
          <w:rFonts w:eastAsia="Calibri" w:cstheme="minorHAnsi"/>
          <w:color w:val="000000" w:themeColor="text1"/>
          <w:lang w:val="en-GB"/>
        </w:rPr>
        <w:t xml:space="preserve"> patients were divided by biological sex</w:t>
      </w:r>
      <w:r w:rsidRPr="00064243">
        <w:rPr>
          <w:rFonts w:eastAsia="Calibri" w:cstheme="minorHAnsi"/>
          <w:color w:val="000000" w:themeColor="text1"/>
          <w:lang w:val="en-US"/>
        </w:rPr>
        <w:t xml:space="preserve"> and </w:t>
      </w:r>
      <w:proofErr w:type="spellStart"/>
      <w:r w:rsidRPr="00064243">
        <w:rPr>
          <w:rFonts w:eastAsia="Times New Roman" w:cstheme="minorHAnsi"/>
          <w:color w:val="000000" w:themeColor="text1"/>
          <w:lang w:val="en-GB"/>
        </w:rPr>
        <w:t>IgE</w:t>
      </w:r>
      <w:proofErr w:type="spellEnd"/>
      <w:r w:rsidRPr="00064243">
        <w:rPr>
          <w:rFonts w:eastAsia="Times New Roman" w:cstheme="minorHAnsi"/>
          <w:color w:val="000000" w:themeColor="text1"/>
          <w:lang w:val="en-US"/>
        </w:rPr>
        <w:t xml:space="preserve"> </w:t>
      </w:r>
      <w:r w:rsidRPr="00064243">
        <w:rPr>
          <w:rFonts w:eastAsia="Times New Roman" w:cstheme="minorHAnsi"/>
          <w:color w:val="000000" w:themeColor="text1"/>
          <w:lang w:val="en-GB"/>
        </w:rPr>
        <w:t xml:space="preserve">sensitization. </w:t>
      </w:r>
      <w:r w:rsidRPr="00064243">
        <w:rPr>
          <w:rFonts w:eastAsia="Calibri" w:cstheme="minorHAnsi"/>
          <w:color w:val="000000" w:themeColor="text1"/>
          <w:lang w:val="en-GB"/>
        </w:rPr>
        <w:t>Inclusion criteria for the patients were: no unstable nondermatological medical conditions or pregnancy; no systemic and/or topical glucocorticoid, immunosuppressant</w:t>
      </w:r>
      <w:r w:rsidR="00B7712A">
        <w:rPr>
          <w:rFonts w:eastAsia="Calibri" w:cstheme="minorHAnsi"/>
          <w:color w:val="000000" w:themeColor="text1"/>
          <w:lang w:val="en-GB"/>
        </w:rPr>
        <w:t>,</w:t>
      </w:r>
      <w:r w:rsidRPr="00064243">
        <w:rPr>
          <w:rFonts w:eastAsia="Calibri" w:cstheme="minorHAnsi"/>
          <w:color w:val="000000" w:themeColor="text1"/>
          <w:lang w:val="en-GB"/>
        </w:rPr>
        <w:t xml:space="preserve"> and psychotropic medications within the month prior to blood sampling; no history of mental or other dermatological disorders; no severe forms of disease, requiring systemic therapy; good general physical health. </w:t>
      </w:r>
      <w:r w:rsidRPr="00064243">
        <w:rPr>
          <w:rFonts w:cstheme="minorHAnsi"/>
          <w:color w:val="000000" w:themeColor="text1"/>
          <w:lang w:val="en-GB"/>
        </w:rPr>
        <w:t xml:space="preserve">Following the first blood sample, patients were provided conventional inpatient treatments according to the international guidelines, </w:t>
      </w:r>
      <w:proofErr w:type="gramStart"/>
      <w:r w:rsidRPr="00064243">
        <w:rPr>
          <w:rFonts w:cstheme="minorHAnsi"/>
          <w:color w:val="000000" w:themeColor="text1"/>
          <w:lang w:val="en-GB"/>
        </w:rPr>
        <w:t>taking into account</w:t>
      </w:r>
      <w:proofErr w:type="gramEnd"/>
      <w:r w:rsidRPr="00064243">
        <w:rPr>
          <w:rFonts w:cstheme="minorHAnsi"/>
          <w:color w:val="000000" w:themeColor="text1"/>
          <w:lang w:val="en-GB"/>
        </w:rPr>
        <w:t xml:space="preserve"> severity of disease and anamnesis. </w:t>
      </w:r>
      <w:r w:rsidRPr="00064243">
        <w:rPr>
          <w:rFonts w:eastAsia="Calibri" w:cstheme="minorHAnsi"/>
          <w:color w:val="000000" w:themeColor="text1"/>
          <w:lang w:val="en-GB"/>
        </w:rPr>
        <w:t xml:space="preserve">Dermatological and psychological statuses of the patients were assessed twice: at entry point (study baseline, disease exacerbation) and at week 10. Severity </w:t>
      </w:r>
      <w:proofErr w:type="gramStart"/>
      <w:r w:rsidRPr="00064243">
        <w:rPr>
          <w:rFonts w:eastAsia="Calibri" w:cstheme="minorHAnsi"/>
          <w:color w:val="000000" w:themeColor="text1"/>
          <w:lang w:val="en-GB"/>
        </w:rPr>
        <w:t>of  dermatitis</w:t>
      </w:r>
      <w:proofErr w:type="gramEnd"/>
      <w:r w:rsidRPr="00064243">
        <w:rPr>
          <w:rFonts w:eastAsia="Calibri" w:cstheme="minorHAnsi"/>
          <w:color w:val="000000" w:themeColor="text1"/>
          <w:lang w:val="en-GB"/>
        </w:rPr>
        <w:t xml:space="preserve"> was </w:t>
      </w:r>
      <w:r w:rsidRPr="00064243">
        <w:rPr>
          <w:rFonts w:cstheme="minorHAnsi"/>
          <w:color w:val="000000" w:themeColor="text1"/>
          <w:lang w:val="en-GB"/>
        </w:rPr>
        <w:t xml:space="preserve">assessed using </w:t>
      </w:r>
      <w:r w:rsidR="00B7712A">
        <w:rPr>
          <w:rFonts w:cstheme="minorHAnsi"/>
          <w:color w:val="000000" w:themeColor="text1"/>
          <w:lang w:val="en-GB"/>
        </w:rPr>
        <w:t xml:space="preserve">the </w:t>
      </w:r>
      <w:r w:rsidRPr="00064243">
        <w:rPr>
          <w:rFonts w:cstheme="minorHAnsi"/>
          <w:color w:val="000000" w:themeColor="text1"/>
          <w:lang w:val="en-GB"/>
        </w:rPr>
        <w:t xml:space="preserve">Scoring of Atopic Dermatitis (SCORAD) index </w:t>
      </w:r>
      <w:r w:rsidR="00B7712A">
        <w:rPr>
          <w:rFonts w:cstheme="minorHAnsi"/>
          <w:color w:val="000000" w:themeColor="text1"/>
          <w:lang w:val="en-GB"/>
        </w:rPr>
        <w:t>[</w:t>
      </w:r>
      <w:r w:rsidRPr="00B7712A">
        <w:rPr>
          <w:rFonts w:cstheme="minorHAnsi"/>
          <w:noProof/>
          <w:lang w:val="en-GB"/>
        </w:rPr>
        <w:t>32</w:t>
      </w:r>
      <w:r w:rsidR="00B7712A">
        <w:rPr>
          <w:rFonts w:cstheme="minorHAnsi"/>
          <w:noProof/>
          <w:lang w:val="en-GB"/>
        </w:rPr>
        <w:t>]</w:t>
      </w:r>
      <w:r w:rsidRPr="00064243">
        <w:rPr>
          <w:rFonts w:cstheme="minorHAnsi"/>
          <w:color w:val="000000" w:themeColor="text1"/>
          <w:lang w:val="en-GB"/>
        </w:rPr>
        <w:t xml:space="preserve">. </w:t>
      </w:r>
      <w:r w:rsidRPr="00064243">
        <w:rPr>
          <w:rFonts w:cstheme="minorHAnsi"/>
          <w:lang w:val="en-US"/>
        </w:rPr>
        <w:t xml:space="preserve">Severity of depression was assessed according to DSM-V criteria with </w:t>
      </w:r>
      <w:r w:rsidR="00B7712A">
        <w:rPr>
          <w:rFonts w:cstheme="minorHAnsi"/>
          <w:lang w:val="en-US"/>
        </w:rPr>
        <w:t xml:space="preserve">the </w:t>
      </w:r>
      <w:r w:rsidRPr="00064243">
        <w:rPr>
          <w:rFonts w:cstheme="minorHAnsi"/>
          <w:lang w:val="en-US"/>
        </w:rPr>
        <w:t>Hamilton Depression Rating Scale (HAMD).</w:t>
      </w:r>
    </w:p>
    <w:p w:rsidR="004D446F" w:rsidRPr="004D446F" w:rsidRDefault="004D446F" w:rsidP="006F521C">
      <w:pPr>
        <w:spacing w:after="0" w:line="480" w:lineRule="auto"/>
        <w:jc w:val="both"/>
        <w:rPr>
          <w:rFonts w:asciiTheme="majorHAnsi" w:eastAsia="Times New Roman" w:hAnsiTheme="majorHAnsi" w:cstheme="minorHAnsi"/>
          <w:b/>
          <w:color w:val="000000" w:themeColor="text1"/>
          <w:sz w:val="24"/>
          <w:szCs w:val="24"/>
          <w:lang w:val="en-US"/>
        </w:rPr>
      </w:pPr>
    </w:p>
    <w:p w:rsidR="006F521C" w:rsidRPr="00D5568A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</w:pPr>
      <w:r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Study </w:t>
      </w:r>
      <w:r w:rsidR="00B7712A"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>Population</w:t>
      </w:r>
    </w:p>
    <w:p w:rsidR="006F521C" w:rsidRPr="00CF42A7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color w:val="000000" w:themeColor="text1"/>
          <w:lang w:val="en-US"/>
        </w:rPr>
      </w:pPr>
      <w:r w:rsidRPr="00CF42A7">
        <w:rPr>
          <w:rFonts w:eastAsia="Calibri" w:cstheme="minorHAnsi"/>
          <w:color w:val="000000" w:themeColor="text1"/>
          <w:lang w:val="en-GB"/>
        </w:rPr>
        <w:t>We conducted a case-control, single-</w:t>
      </w:r>
      <w:proofErr w:type="spellStart"/>
      <w:r w:rsidR="00D5568A">
        <w:rPr>
          <w:rFonts w:eastAsia="Calibri" w:cstheme="minorHAnsi"/>
          <w:color w:val="000000" w:themeColor="text1"/>
          <w:lang w:val="en-GB"/>
        </w:rPr>
        <w:t>cent</w:t>
      </w:r>
      <w:r w:rsidR="00D5568A" w:rsidRPr="00CF42A7">
        <w:rPr>
          <w:rFonts w:eastAsia="Calibri" w:cstheme="minorHAnsi"/>
          <w:color w:val="000000" w:themeColor="text1"/>
          <w:lang w:val="en-GB"/>
        </w:rPr>
        <w:t>e</w:t>
      </w:r>
      <w:proofErr w:type="spellEnd"/>
      <w:r w:rsidR="00D5568A">
        <w:rPr>
          <w:rFonts w:eastAsia="Calibri" w:cstheme="minorHAnsi"/>
          <w:color w:val="000000" w:themeColor="text1"/>
          <w:lang w:val="en-US"/>
        </w:rPr>
        <w:t>r</w:t>
      </w:r>
      <w:r w:rsidRPr="00CF42A7">
        <w:rPr>
          <w:rFonts w:eastAsia="Calibri" w:cstheme="minorHAnsi"/>
          <w:color w:val="000000" w:themeColor="text1"/>
          <w:lang w:val="en-GB"/>
        </w:rPr>
        <w:t xml:space="preserve"> study in Astana, Kazakhstan</w:t>
      </w:r>
      <w:r w:rsidR="00B7712A">
        <w:rPr>
          <w:rFonts w:eastAsia="Calibri" w:cstheme="minorHAnsi"/>
          <w:color w:val="000000" w:themeColor="text1"/>
          <w:lang w:val="en-GB"/>
        </w:rPr>
        <w:t>,</w:t>
      </w:r>
      <w:r w:rsidRPr="00CF42A7">
        <w:rPr>
          <w:rFonts w:eastAsia="Calibri" w:cstheme="minorHAnsi"/>
          <w:color w:val="000000" w:themeColor="text1"/>
          <w:lang w:val="en-GB"/>
        </w:rPr>
        <w:t xml:space="preserve"> of </w:t>
      </w:r>
      <w:r w:rsidRPr="00CF42A7">
        <w:rPr>
          <w:rFonts w:eastAsia="Calibri" w:cstheme="minorHAnsi"/>
          <w:color w:val="000000" w:themeColor="text1"/>
          <w:lang w:val="en-US"/>
        </w:rPr>
        <w:t>105</w:t>
      </w:r>
      <w:r w:rsidRPr="00CF42A7">
        <w:rPr>
          <w:rFonts w:eastAsia="Calibri" w:cstheme="minorHAnsi"/>
          <w:color w:val="000000" w:themeColor="text1"/>
          <w:lang w:val="en-GB"/>
        </w:rPr>
        <w:t xml:space="preserve"> patient volunteers (56 AD, 49 HC) over 10 weeks of dermatological symptom presentation starting at symptom onset. </w:t>
      </w:r>
      <w:r w:rsidRPr="00CF42A7">
        <w:rPr>
          <w:rFonts w:eastAsia="Calibri" w:cstheme="minorHAnsi"/>
          <w:color w:val="000000" w:themeColor="text1"/>
          <w:lang w:val="en-US"/>
        </w:rPr>
        <w:t>W</w:t>
      </w:r>
      <w:proofErr w:type="spellStart"/>
      <w:r w:rsidRPr="00CF42A7">
        <w:rPr>
          <w:rFonts w:eastAsia="Calibri" w:cstheme="minorHAnsi"/>
          <w:color w:val="000000" w:themeColor="text1"/>
          <w:lang w:val="en-GB"/>
        </w:rPr>
        <w:t>ithin</w:t>
      </w:r>
      <w:proofErr w:type="spellEnd"/>
      <w:r w:rsidRPr="00CF42A7">
        <w:rPr>
          <w:rFonts w:eastAsia="Calibri" w:cstheme="minorHAnsi"/>
          <w:color w:val="000000" w:themeColor="text1"/>
          <w:lang w:val="en-GB"/>
        </w:rPr>
        <w:t xml:space="preserve"> the framework of the set goal patients were divided by biological sex: </w:t>
      </w:r>
      <w:r w:rsidR="00673964">
        <w:rPr>
          <w:rFonts w:eastAsia="Calibri" w:cstheme="minorHAnsi"/>
          <w:color w:val="000000" w:themeColor="text1"/>
          <w:lang w:val="en-GB"/>
        </w:rPr>
        <w:t xml:space="preserve">AD (males, </w:t>
      </w:r>
      <w:r w:rsidR="00673964" w:rsidRPr="00B7712A">
        <w:rPr>
          <w:rFonts w:eastAsia="Calibri" w:cstheme="minorHAnsi"/>
          <w:i/>
          <w:color w:val="000000" w:themeColor="text1"/>
          <w:lang w:val="en-GB"/>
        </w:rPr>
        <w:t>n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673964">
        <w:rPr>
          <w:rFonts w:eastAsia="Calibri" w:cstheme="minorHAnsi"/>
          <w:color w:val="000000" w:themeColor="text1"/>
          <w:lang w:val="en-GB"/>
        </w:rPr>
        <w:t>=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673964">
        <w:rPr>
          <w:rFonts w:eastAsia="Calibri" w:cstheme="minorHAnsi"/>
          <w:color w:val="000000" w:themeColor="text1"/>
          <w:lang w:val="en-GB"/>
        </w:rPr>
        <w:t xml:space="preserve">27; females, </w:t>
      </w:r>
      <w:r w:rsidR="00673964" w:rsidRPr="00B7712A">
        <w:rPr>
          <w:rFonts w:eastAsia="Calibri" w:cstheme="minorHAnsi"/>
          <w:i/>
          <w:color w:val="000000" w:themeColor="text1"/>
          <w:lang w:val="en-GB"/>
        </w:rPr>
        <w:t>n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673964">
        <w:rPr>
          <w:rFonts w:eastAsia="Calibri" w:cstheme="minorHAnsi"/>
          <w:color w:val="000000" w:themeColor="text1"/>
          <w:lang w:val="en-GB"/>
        </w:rPr>
        <w:t>=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673964">
        <w:rPr>
          <w:rFonts w:eastAsia="Calibri" w:cstheme="minorHAnsi"/>
          <w:color w:val="000000" w:themeColor="text1"/>
          <w:lang w:val="en-GB"/>
        </w:rPr>
        <w:t>29)</w:t>
      </w:r>
      <w:r w:rsidR="00984BF1">
        <w:rPr>
          <w:rFonts w:eastAsia="Calibri" w:cstheme="minorHAnsi"/>
          <w:color w:val="000000" w:themeColor="text1"/>
          <w:lang w:val="en-GB"/>
        </w:rPr>
        <w:t>,</w:t>
      </w:r>
      <w:r w:rsidR="00673964">
        <w:rPr>
          <w:rFonts w:eastAsia="Calibri" w:cstheme="minorHAnsi"/>
          <w:color w:val="000000" w:themeColor="text1"/>
          <w:lang w:val="en-GB"/>
        </w:rPr>
        <w:t xml:space="preserve"> HC (</w:t>
      </w:r>
      <w:r w:rsidRPr="00CF42A7">
        <w:rPr>
          <w:rFonts w:eastAsia="Calibri" w:cstheme="minorHAnsi"/>
          <w:color w:val="000000" w:themeColor="text1"/>
          <w:lang w:val="en-GB"/>
        </w:rPr>
        <w:t xml:space="preserve">males, </w:t>
      </w:r>
      <w:r w:rsidRPr="00B7712A">
        <w:rPr>
          <w:rFonts w:eastAsia="Calibri" w:cstheme="minorHAnsi"/>
          <w:i/>
          <w:color w:val="000000" w:themeColor="text1"/>
          <w:lang w:val="en-GB"/>
        </w:rPr>
        <w:t>n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=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23; females,</w:t>
      </w:r>
      <w:r w:rsidRPr="00CF42A7">
        <w:rPr>
          <w:rFonts w:eastAsia="Calibri" w:cstheme="minorHAnsi"/>
          <w:color w:val="000000" w:themeColor="text1"/>
          <w:lang w:val="en-US"/>
        </w:rPr>
        <w:t xml:space="preserve"> </w:t>
      </w:r>
      <w:r w:rsidR="00984BF1" w:rsidRPr="00B7712A">
        <w:rPr>
          <w:rFonts w:eastAsia="Calibri" w:cstheme="minorHAnsi"/>
          <w:i/>
          <w:color w:val="000000" w:themeColor="text1"/>
          <w:lang w:val="en-GB"/>
        </w:rPr>
        <w:t>n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984BF1">
        <w:rPr>
          <w:rFonts w:eastAsia="Calibri" w:cstheme="minorHAnsi"/>
          <w:color w:val="000000" w:themeColor="text1"/>
          <w:lang w:val="en-GB"/>
        </w:rPr>
        <w:t>=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="00984BF1">
        <w:rPr>
          <w:rFonts w:eastAsia="Calibri" w:cstheme="minorHAnsi"/>
          <w:color w:val="000000" w:themeColor="text1"/>
          <w:lang w:val="en-GB"/>
        </w:rPr>
        <w:t xml:space="preserve">26); </w:t>
      </w:r>
      <w:proofErr w:type="spellStart"/>
      <w:r w:rsidR="00984BF1">
        <w:rPr>
          <w:rFonts w:eastAsia="Times New Roman" w:cstheme="minorHAnsi"/>
          <w:color w:val="000000" w:themeColor="text1"/>
          <w:lang w:val="en-GB"/>
        </w:rPr>
        <w:t>IgE</w:t>
      </w:r>
      <w:proofErr w:type="spellEnd"/>
      <w:r w:rsidR="00984BF1">
        <w:rPr>
          <w:rFonts w:eastAsia="Times New Roman" w:cstheme="minorHAnsi"/>
          <w:color w:val="000000" w:themeColor="text1"/>
          <w:lang w:val="en-GB"/>
        </w:rPr>
        <w:t xml:space="preserve"> sensitization: </w:t>
      </w:r>
      <w:r w:rsidR="00CC3C83" w:rsidRPr="00CF42A7">
        <w:rPr>
          <w:rFonts w:eastAsia="Times New Roman" w:cstheme="minorHAnsi"/>
          <w:color w:val="000000" w:themeColor="text1"/>
          <w:lang w:val="en-GB"/>
        </w:rPr>
        <w:t>extrinsic</w:t>
      </w:r>
      <w:r w:rsidR="009D513B" w:rsidRPr="00CF42A7">
        <w:rPr>
          <w:rFonts w:eastAsia="Times New Roman" w:cstheme="minorHAnsi"/>
          <w:color w:val="000000" w:themeColor="text1"/>
          <w:lang w:val="en-US"/>
        </w:rPr>
        <w:t xml:space="preserve"> atopic dermatitis</w:t>
      </w:r>
      <w:r w:rsidR="00673964">
        <w:rPr>
          <w:rFonts w:eastAsia="Times New Roman" w:cstheme="minorHAnsi"/>
          <w:color w:val="000000" w:themeColor="text1"/>
          <w:lang w:val="en-US"/>
        </w:rPr>
        <w:t>, EAD (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males, </w:t>
      </w:r>
      <w:r w:rsidRPr="00B7712A">
        <w:rPr>
          <w:rFonts w:eastAsia="Times New Roman" w:cstheme="minorHAnsi"/>
          <w:i/>
          <w:color w:val="000000" w:themeColor="text1"/>
          <w:lang w:val="en-GB"/>
        </w:rPr>
        <w:t>n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CF42A7">
        <w:rPr>
          <w:rFonts w:eastAsia="Times New Roman" w:cstheme="minorHAnsi"/>
          <w:color w:val="000000" w:themeColor="text1"/>
          <w:lang w:val="en-GB"/>
        </w:rPr>
        <w:t>=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16; females, </w:t>
      </w:r>
      <w:r w:rsidRPr="00B7712A">
        <w:rPr>
          <w:rFonts w:eastAsia="Times New Roman" w:cstheme="minorHAnsi"/>
          <w:i/>
          <w:color w:val="000000" w:themeColor="text1"/>
          <w:lang w:val="en-GB"/>
        </w:rPr>
        <w:t>n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CF42A7">
        <w:rPr>
          <w:rFonts w:eastAsia="Times New Roman" w:cstheme="minorHAnsi"/>
          <w:color w:val="000000" w:themeColor="text1"/>
          <w:lang w:val="en-GB"/>
        </w:rPr>
        <w:t>=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Pr="00CF42A7">
        <w:rPr>
          <w:rFonts w:eastAsia="Times New Roman" w:cstheme="minorHAnsi"/>
          <w:color w:val="000000" w:themeColor="text1"/>
          <w:lang w:val="en-GB"/>
        </w:rPr>
        <w:t>1</w:t>
      </w:r>
      <w:r w:rsidR="00673964">
        <w:rPr>
          <w:rFonts w:eastAsia="Times New Roman" w:cstheme="minorHAnsi"/>
          <w:color w:val="000000" w:themeColor="text1"/>
          <w:lang w:val="en-GB"/>
        </w:rPr>
        <w:t>7)</w:t>
      </w:r>
      <w:r w:rsidR="00B7712A">
        <w:rPr>
          <w:rFonts w:eastAsia="Times New Roman" w:cstheme="minorHAnsi"/>
          <w:color w:val="000000" w:themeColor="text1"/>
          <w:lang w:val="en-GB"/>
        </w:rPr>
        <w:t>,</w:t>
      </w:r>
      <w:r w:rsidR="00673964">
        <w:rPr>
          <w:rFonts w:eastAsia="Times New Roman" w:cstheme="minorHAnsi"/>
          <w:color w:val="000000" w:themeColor="text1"/>
          <w:lang w:val="en-GB"/>
        </w:rPr>
        <w:t xml:space="preserve"> and </w:t>
      </w:r>
      <w:r w:rsidRPr="00CF42A7">
        <w:rPr>
          <w:rFonts w:eastAsia="Times New Roman" w:cstheme="minorHAnsi"/>
          <w:color w:val="000000" w:themeColor="text1"/>
          <w:lang w:val="en-GB"/>
        </w:rPr>
        <w:t>intrinsic</w:t>
      </w:r>
      <w:r w:rsidR="009D513B" w:rsidRPr="00CF42A7">
        <w:rPr>
          <w:rFonts w:eastAsia="Times New Roman" w:cstheme="minorHAnsi"/>
          <w:color w:val="000000" w:themeColor="text1"/>
          <w:lang w:val="en-GB"/>
        </w:rPr>
        <w:t xml:space="preserve"> atopic dermatitis</w:t>
      </w:r>
      <w:r w:rsidR="00673964">
        <w:rPr>
          <w:rFonts w:eastAsia="Times New Roman" w:cstheme="minorHAnsi"/>
          <w:color w:val="000000" w:themeColor="text1"/>
          <w:lang w:val="en-US"/>
        </w:rPr>
        <w:t>, IAD (</w:t>
      </w:r>
      <w:r w:rsidR="00673964">
        <w:rPr>
          <w:rFonts w:eastAsia="Times New Roman" w:cstheme="minorHAnsi"/>
          <w:color w:val="000000" w:themeColor="text1"/>
          <w:lang w:val="en-GB"/>
        </w:rPr>
        <w:t xml:space="preserve">males, </w:t>
      </w:r>
      <w:r w:rsidR="00673964" w:rsidRPr="00B7712A">
        <w:rPr>
          <w:rFonts w:eastAsia="Times New Roman" w:cstheme="minorHAnsi"/>
          <w:i/>
          <w:color w:val="000000" w:themeColor="text1"/>
          <w:lang w:val="en-GB"/>
        </w:rPr>
        <w:t>n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="00673964">
        <w:rPr>
          <w:rFonts w:eastAsia="Times New Roman" w:cstheme="minorHAnsi"/>
          <w:color w:val="000000" w:themeColor="text1"/>
          <w:lang w:val="en-GB"/>
        </w:rPr>
        <w:t>=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="00673964">
        <w:rPr>
          <w:rFonts w:eastAsia="Times New Roman" w:cstheme="minorHAnsi"/>
          <w:color w:val="000000" w:themeColor="text1"/>
          <w:lang w:val="en-GB"/>
        </w:rPr>
        <w:t xml:space="preserve">11; females, </w:t>
      </w:r>
      <w:r w:rsidR="00673964" w:rsidRPr="00B7712A">
        <w:rPr>
          <w:rFonts w:eastAsia="Times New Roman" w:cstheme="minorHAnsi"/>
          <w:i/>
          <w:color w:val="000000" w:themeColor="text1"/>
          <w:lang w:val="en-GB"/>
        </w:rPr>
        <w:t>n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="00673964">
        <w:rPr>
          <w:rFonts w:eastAsia="Times New Roman" w:cstheme="minorHAnsi"/>
          <w:color w:val="000000" w:themeColor="text1"/>
          <w:lang w:val="en-GB"/>
        </w:rPr>
        <w:t>=</w:t>
      </w:r>
      <w:r w:rsidR="00B7712A">
        <w:rPr>
          <w:rFonts w:eastAsia="Times New Roman" w:cstheme="minorHAnsi"/>
          <w:color w:val="000000" w:themeColor="text1"/>
          <w:lang w:val="en-GB"/>
        </w:rPr>
        <w:t xml:space="preserve"> </w:t>
      </w:r>
      <w:r w:rsidR="00673964">
        <w:rPr>
          <w:rFonts w:eastAsia="Times New Roman" w:cstheme="minorHAnsi"/>
          <w:color w:val="000000" w:themeColor="text1"/>
          <w:lang w:val="en-GB"/>
        </w:rPr>
        <w:t>12)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. Sex ratios </w:t>
      </w:r>
      <w:r w:rsidRPr="00CF42A7">
        <w:rPr>
          <w:rFonts w:eastAsia="Calibri" w:cstheme="minorHAnsi"/>
          <w:color w:val="000000" w:themeColor="text1"/>
          <w:lang w:val="en-GB"/>
        </w:rPr>
        <w:t>(</w:t>
      </w:r>
      <w:r w:rsidR="00B7712A" w:rsidRPr="00CF42A7">
        <w:rPr>
          <w:rFonts w:eastAsia="Calibri" w:cstheme="minorHAnsi"/>
          <w:color w:val="000000" w:themeColor="text1"/>
          <w:lang w:val="en-GB"/>
        </w:rPr>
        <w:t>M/F</w:t>
      </w:r>
      <w:r w:rsidRPr="00CF42A7">
        <w:rPr>
          <w:rFonts w:eastAsia="Calibri" w:cstheme="minorHAnsi"/>
          <w:color w:val="000000" w:themeColor="text1"/>
          <w:lang w:val="en-GB"/>
        </w:rPr>
        <w:t>: HC, 0.88; AD: 0.93) and age (</w:t>
      </w:r>
      <w:r w:rsidR="00B7712A" w:rsidRPr="00CF42A7">
        <w:rPr>
          <w:rFonts w:eastAsia="Calibri" w:cstheme="minorHAnsi"/>
          <w:color w:val="000000" w:themeColor="text1"/>
          <w:lang w:val="en-GB"/>
        </w:rPr>
        <w:t>m</w:t>
      </w:r>
      <w:r w:rsidRPr="00CF42A7">
        <w:rPr>
          <w:rFonts w:eastAsia="Calibri" w:cstheme="minorHAnsi"/>
          <w:color w:val="000000" w:themeColor="text1"/>
          <w:lang w:val="en-GB"/>
        </w:rPr>
        <w:t>ean</w:t>
      </w:r>
      <w:r w:rsidR="00B7712A">
        <w:rPr>
          <w:rFonts w:eastAsia="Calibri" w:cstheme="minorHAnsi"/>
          <w:color w:val="000000" w:themeColor="text1"/>
          <w:lang w:val="en-GB"/>
        </w:rPr>
        <w:t xml:space="preserve">s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SEM: HC, 34.9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1.3; AD, 41.6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 xml:space="preserve">2.3) 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of </w:t>
      </w:r>
      <w:r w:rsidRPr="00CF42A7">
        <w:rPr>
          <w:rFonts w:eastAsia="Times New Roman" w:cstheme="minorHAnsi"/>
          <w:color w:val="000000" w:themeColor="text1"/>
          <w:lang w:val="en-US"/>
        </w:rPr>
        <w:t>recruited volunteers</w:t>
      </w:r>
      <w:r w:rsidRPr="00CF42A7">
        <w:rPr>
          <w:rFonts w:eastAsia="Times New Roman" w:cstheme="minorHAnsi"/>
          <w:color w:val="000000" w:themeColor="text1"/>
          <w:lang w:val="en-GB"/>
        </w:rPr>
        <w:t xml:space="preserve"> where similar. </w:t>
      </w:r>
      <w:r w:rsidRPr="00CF42A7">
        <w:rPr>
          <w:rFonts w:eastAsia="Calibri" w:cstheme="minorHAnsi"/>
          <w:color w:val="000000" w:themeColor="text1"/>
          <w:lang w:val="en-GB"/>
        </w:rPr>
        <w:t xml:space="preserve">Group ages by sex were: </w:t>
      </w:r>
      <w:r w:rsidR="00B7712A">
        <w:rPr>
          <w:rFonts w:eastAsia="Calibri" w:cstheme="minorHAnsi"/>
          <w:color w:val="000000" w:themeColor="text1"/>
          <w:lang w:val="en-GB"/>
        </w:rPr>
        <w:t xml:space="preserve">HC </w:t>
      </w:r>
      <w:r w:rsidRPr="00CF42A7">
        <w:rPr>
          <w:rFonts w:eastAsia="Calibri" w:cstheme="minorHAnsi"/>
          <w:color w:val="000000" w:themeColor="text1"/>
          <w:lang w:val="en-GB"/>
        </w:rPr>
        <w:t>males, 32.4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1.2; AD males, 41.3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3.5; HC females, 37.0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2.1; AD females, 41.9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±</w:t>
      </w:r>
      <w:r w:rsidR="00B7712A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2.9</w:t>
      </w:r>
      <w:r w:rsidR="00B7712A">
        <w:rPr>
          <w:rFonts w:eastAsia="Calibri" w:cstheme="minorHAnsi"/>
          <w:color w:val="000000" w:themeColor="text1"/>
          <w:lang w:val="en-GB"/>
        </w:rPr>
        <w:t xml:space="preserve"> years</w:t>
      </w:r>
      <w:r w:rsidRPr="00CF42A7">
        <w:rPr>
          <w:rFonts w:eastAsia="Calibri" w:cstheme="minorHAnsi"/>
          <w:color w:val="000000" w:themeColor="text1"/>
          <w:lang w:val="en-GB"/>
        </w:rPr>
        <w:t xml:space="preserve">. Dropout numbers were as follows: HC, none; AD, 10. Dropout numbers by sex were as follows: </w:t>
      </w:r>
      <w:r w:rsidR="00B7712A">
        <w:rPr>
          <w:rFonts w:eastAsia="Calibri" w:cstheme="minorHAnsi"/>
          <w:color w:val="000000" w:themeColor="text1"/>
          <w:lang w:val="en-GB"/>
        </w:rPr>
        <w:t xml:space="preserve">AD </w:t>
      </w:r>
      <w:r w:rsidRPr="00CF42A7">
        <w:rPr>
          <w:rFonts w:eastAsia="Calibri" w:cstheme="minorHAnsi"/>
          <w:color w:val="000000" w:themeColor="text1"/>
          <w:lang w:val="en-GB"/>
        </w:rPr>
        <w:t xml:space="preserve">males, 5; </w:t>
      </w:r>
      <w:r w:rsidR="00B7712A">
        <w:rPr>
          <w:rFonts w:eastAsia="Calibri" w:cstheme="minorHAnsi"/>
          <w:color w:val="000000" w:themeColor="text1"/>
          <w:lang w:val="en-GB"/>
        </w:rPr>
        <w:t xml:space="preserve">AD </w:t>
      </w:r>
      <w:r w:rsidRPr="00CF42A7">
        <w:rPr>
          <w:rFonts w:eastAsia="Calibri" w:cstheme="minorHAnsi"/>
          <w:color w:val="000000" w:themeColor="text1"/>
          <w:lang w:val="en-GB"/>
        </w:rPr>
        <w:t>females, 5. Inclusion criteria for the patients were: no unstable nondermatological medical conditions or pregnancy; no systemic and/or topical glucocorticoid, immunosuppressant</w:t>
      </w:r>
      <w:r w:rsidR="00B7712A">
        <w:rPr>
          <w:rFonts w:eastAsia="Calibri" w:cstheme="minorHAnsi"/>
          <w:color w:val="000000" w:themeColor="text1"/>
          <w:lang w:val="en-GB"/>
        </w:rPr>
        <w:t>,</w:t>
      </w:r>
      <w:r w:rsidRPr="00CF42A7">
        <w:rPr>
          <w:rFonts w:eastAsia="Calibri" w:cstheme="minorHAnsi"/>
          <w:color w:val="000000" w:themeColor="text1"/>
          <w:lang w:val="en-GB"/>
        </w:rPr>
        <w:t xml:space="preserve"> and psychotropic medications within the month prior to blood sampling; no </w:t>
      </w:r>
      <w:r w:rsidRPr="00CF42A7">
        <w:rPr>
          <w:rFonts w:eastAsia="Calibri" w:cstheme="minorHAnsi"/>
          <w:color w:val="000000" w:themeColor="text1"/>
          <w:lang w:val="en-GB"/>
        </w:rPr>
        <w:lastRenderedPageBreak/>
        <w:t>history of mental or other dermatological disorders; no severe forms of disease requiring systemic therapy; good general physical health.</w:t>
      </w:r>
    </w:p>
    <w:p w:rsidR="006F521C" w:rsidRDefault="006F521C" w:rsidP="006F521C">
      <w:pPr>
        <w:spacing w:after="0" w:line="480" w:lineRule="auto"/>
        <w:jc w:val="both"/>
        <w:rPr>
          <w:rFonts w:cstheme="minorHAnsi"/>
          <w:color w:val="000000" w:themeColor="text1"/>
          <w:lang w:val="en-GB"/>
        </w:rPr>
      </w:pPr>
      <w:r w:rsidRPr="00CF42A7">
        <w:rPr>
          <w:rFonts w:cstheme="minorHAnsi"/>
          <w:color w:val="000000" w:themeColor="text1"/>
          <w:lang w:val="en-GB"/>
        </w:rPr>
        <w:t xml:space="preserve">The study was approved by the Astana Medical University Health Ethical Review Boards </w:t>
      </w:r>
      <w:r w:rsidRPr="00CF42A7">
        <w:rPr>
          <w:rFonts w:cstheme="minorHAnsi"/>
          <w:color w:val="000000" w:themeColor="text1"/>
          <w:lang w:val="en-US"/>
        </w:rPr>
        <w:t>within</w:t>
      </w:r>
      <w:r w:rsidRPr="00CF42A7">
        <w:rPr>
          <w:rFonts w:cstheme="minorHAnsi"/>
          <w:color w:val="000000" w:themeColor="text1"/>
          <w:lang w:val="en-GB"/>
        </w:rPr>
        <w:t xml:space="preserve"> guidelines established by the 1964 Declaration of Helsinki (IRB</w:t>
      </w:r>
      <w:r w:rsidRPr="00CF42A7">
        <w:rPr>
          <w:rFonts w:cstheme="minorHAnsi"/>
          <w:color w:val="000000" w:themeColor="text1"/>
          <w:lang w:val="en-US"/>
        </w:rPr>
        <w:t xml:space="preserve"> </w:t>
      </w:r>
      <w:r w:rsidR="00B7712A" w:rsidRPr="00CF42A7">
        <w:rPr>
          <w:rFonts w:cstheme="minorHAnsi"/>
          <w:color w:val="000000" w:themeColor="text1"/>
          <w:lang w:val="en-US"/>
        </w:rPr>
        <w:t>N</w:t>
      </w:r>
      <w:r w:rsidRPr="00CF42A7">
        <w:rPr>
          <w:rFonts w:cstheme="minorHAnsi"/>
          <w:color w:val="000000" w:themeColor="text1"/>
          <w:lang w:val="en-US"/>
        </w:rPr>
        <w:t>o. 4)</w:t>
      </w:r>
      <w:r w:rsidRPr="00CF42A7">
        <w:rPr>
          <w:rFonts w:cstheme="minorHAnsi"/>
          <w:color w:val="000000" w:themeColor="text1"/>
          <w:lang w:val="en-GB"/>
        </w:rPr>
        <w:t xml:space="preserve">. Patients were enrolled after written informed consent. Following the first blood sample, patients were provided conventional inpatient treatments in the </w:t>
      </w:r>
      <w:proofErr w:type="spellStart"/>
      <w:r w:rsidRPr="00CF42A7">
        <w:rPr>
          <w:rFonts w:cstheme="minorHAnsi"/>
          <w:color w:val="000000" w:themeColor="text1"/>
          <w:lang w:val="en-GB"/>
        </w:rPr>
        <w:t>Center</w:t>
      </w:r>
      <w:proofErr w:type="spellEnd"/>
      <w:r w:rsidRPr="00CF42A7">
        <w:rPr>
          <w:rFonts w:cstheme="minorHAnsi"/>
          <w:color w:val="000000" w:themeColor="text1"/>
          <w:lang w:val="en-GB"/>
        </w:rPr>
        <w:t xml:space="preserve"> of Dermatology </w:t>
      </w:r>
      <w:r w:rsidRPr="00CF42A7">
        <w:rPr>
          <w:rFonts w:cstheme="minorHAnsi"/>
          <w:color w:val="000000" w:themeColor="text1"/>
          <w:lang w:val="en-US"/>
        </w:rPr>
        <w:t xml:space="preserve">in Astana </w:t>
      </w:r>
      <w:r w:rsidRPr="00CF42A7">
        <w:rPr>
          <w:rFonts w:cstheme="minorHAnsi"/>
          <w:color w:val="000000" w:themeColor="text1"/>
          <w:lang w:val="en-GB"/>
        </w:rPr>
        <w:t xml:space="preserve">according to the international guidelines, </w:t>
      </w:r>
      <w:proofErr w:type="gramStart"/>
      <w:r w:rsidRPr="00CF42A7">
        <w:rPr>
          <w:rFonts w:cstheme="minorHAnsi"/>
          <w:color w:val="000000" w:themeColor="text1"/>
          <w:lang w:val="en-GB"/>
        </w:rPr>
        <w:t>taking into account</w:t>
      </w:r>
      <w:proofErr w:type="gramEnd"/>
      <w:r w:rsidRPr="00CF42A7">
        <w:rPr>
          <w:rFonts w:cstheme="minorHAnsi"/>
          <w:color w:val="000000" w:themeColor="text1"/>
          <w:lang w:val="en-GB"/>
        </w:rPr>
        <w:t xml:space="preserve"> severity of disease and anamnesis</w:t>
      </w:r>
      <w:r w:rsidRPr="00CF42A7">
        <w:rPr>
          <w:rFonts w:cstheme="minorHAnsi"/>
          <w:color w:val="000000" w:themeColor="text1"/>
          <w:lang w:val="en-US"/>
        </w:rPr>
        <w:t>:</w:t>
      </w:r>
      <w:r w:rsidRPr="00CF42A7">
        <w:rPr>
          <w:rFonts w:cstheme="minorHAnsi"/>
          <w:color w:val="000000" w:themeColor="text1"/>
          <w:lang w:val="en-GB"/>
        </w:rPr>
        <w:t xml:space="preserve"> antihistamines (e.g., diphenhydramine, desloratadine) and topical corticosteroids (e.g., betamethasone, mometasone) up to 3 weeks, and emollients up to 2 months. Psychiatric evaluation of patients did not necessitate </w:t>
      </w:r>
      <w:r w:rsidR="00B7712A">
        <w:rPr>
          <w:rFonts w:cstheme="minorHAnsi"/>
          <w:color w:val="000000" w:themeColor="text1"/>
          <w:lang w:val="en-GB"/>
        </w:rPr>
        <w:t xml:space="preserve">the </w:t>
      </w:r>
      <w:r w:rsidRPr="00CF42A7">
        <w:rPr>
          <w:rFonts w:cstheme="minorHAnsi"/>
          <w:color w:val="000000" w:themeColor="text1"/>
          <w:lang w:val="en-GB"/>
        </w:rPr>
        <w:t>use of antidepressants or other psychotropic agents. Improvement of dermatological symptoms was observed in all patients when evaluated 10 weeks after initial symptom presentation.</w:t>
      </w:r>
    </w:p>
    <w:p w:rsidR="00B7712A" w:rsidRPr="00CF42A7" w:rsidRDefault="00B7712A" w:rsidP="006F521C">
      <w:pPr>
        <w:spacing w:after="0" w:line="480" w:lineRule="auto"/>
        <w:jc w:val="both"/>
        <w:rPr>
          <w:rFonts w:eastAsia="Times New Roman" w:cstheme="minorHAnsi"/>
          <w:b/>
          <w:color w:val="000000" w:themeColor="text1"/>
          <w:lang w:val="en-US"/>
        </w:rPr>
      </w:pPr>
    </w:p>
    <w:p w:rsidR="006F521C" w:rsidRPr="00D5568A" w:rsidRDefault="006F521C" w:rsidP="00B7712A">
      <w:pPr>
        <w:autoSpaceDE w:val="0"/>
        <w:autoSpaceDN w:val="0"/>
        <w:adjustRightInd w:val="0"/>
        <w:spacing w:after="0" w:line="480" w:lineRule="auto"/>
        <w:jc w:val="both"/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</w:pPr>
      <w:r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Patient </w:t>
      </w:r>
      <w:r w:rsidR="00B7712A"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Dermatological </w:t>
      </w:r>
      <w:r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and </w:t>
      </w:r>
      <w:r w:rsidR="00B7712A"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>Psychological Sc</w:t>
      </w:r>
      <w:r w:rsidRPr="00D5568A">
        <w:rPr>
          <w:rFonts w:eastAsia="Times New Roman" w:cstheme="minorHAnsi"/>
          <w:bCs/>
          <w:i/>
          <w:iCs/>
          <w:color w:val="000000" w:themeColor="text1"/>
          <w:sz w:val="24"/>
          <w:szCs w:val="24"/>
          <w:lang w:val="en-GB"/>
        </w:rPr>
        <w:t>oring</w:t>
      </w:r>
    </w:p>
    <w:p w:rsidR="006F521C" w:rsidRPr="00CF42A7" w:rsidRDefault="006F521C" w:rsidP="006F521C">
      <w:pPr>
        <w:spacing w:after="0" w:line="480" w:lineRule="auto"/>
        <w:jc w:val="both"/>
        <w:rPr>
          <w:rFonts w:cstheme="minorHAnsi"/>
          <w:color w:val="000000" w:themeColor="text1"/>
          <w:lang w:val="en-US"/>
        </w:rPr>
      </w:pPr>
      <w:r w:rsidRPr="00CF42A7">
        <w:rPr>
          <w:rFonts w:eastAsia="Calibri" w:cstheme="minorHAnsi"/>
          <w:color w:val="000000" w:themeColor="text1"/>
          <w:lang w:val="en-GB"/>
        </w:rPr>
        <w:t xml:space="preserve">Dermatological and psychological statuses of the patients were assessed twice: at entry point (study baseline, disease exacerbation) and at week 10. Dermatological status </w:t>
      </w:r>
      <w:r w:rsidRPr="00CF42A7">
        <w:rPr>
          <w:rFonts w:cstheme="minorHAnsi"/>
          <w:color w:val="000000" w:themeColor="text1"/>
          <w:lang w:val="en-GB"/>
        </w:rPr>
        <w:t xml:space="preserve">was assessed using </w:t>
      </w:r>
      <w:r w:rsidR="00E86C20">
        <w:rPr>
          <w:rFonts w:cstheme="minorHAnsi"/>
          <w:color w:val="000000" w:themeColor="text1"/>
          <w:lang w:val="en-GB"/>
        </w:rPr>
        <w:t xml:space="preserve">the </w:t>
      </w:r>
      <w:r w:rsidR="0002219D">
        <w:rPr>
          <w:rFonts w:cstheme="minorHAnsi"/>
          <w:color w:val="000000" w:themeColor="text1"/>
          <w:lang w:val="en-GB"/>
        </w:rPr>
        <w:t>S</w:t>
      </w:r>
      <w:r w:rsidRPr="00CF42A7">
        <w:rPr>
          <w:rFonts w:cstheme="minorHAnsi"/>
          <w:color w:val="000000" w:themeColor="text1"/>
          <w:lang w:val="en-GB"/>
        </w:rPr>
        <w:t>CORAD index, which included objective (extent and intensity) and subjective (daytime pruritus and sleep loss) criteria (SCORAD index</w:t>
      </w:r>
      <w:r w:rsidRPr="00CF42A7">
        <w:rPr>
          <w:rFonts w:cstheme="minorHAnsi"/>
          <w:color w:val="000000" w:themeColor="text1"/>
          <w:lang w:val="en-US"/>
        </w:rPr>
        <w:t xml:space="preserve">, mild, &lt;25; </w:t>
      </w:r>
      <w:r w:rsidRPr="00CF42A7">
        <w:rPr>
          <w:rFonts w:cstheme="minorHAnsi"/>
          <w:noProof/>
          <w:color w:val="000000" w:themeColor="text1"/>
          <w:lang w:val="en-GB"/>
        </w:rPr>
        <w:t>moderate, 25</w:t>
      </w:r>
      <w:r w:rsidR="0002219D">
        <w:rPr>
          <w:rFonts w:cstheme="minorHAnsi"/>
          <w:noProof/>
          <w:color w:val="000000" w:themeColor="text1"/>
          <w:lang w:val="en-GB"/>
        </w:rPr>
        <w:t>–</w:t>
      </w:r>
      <w:r w:rsidRPr="00CF42A7">
        <w:rPr>
          <w:rFonts w:cstheme="minorHAnsi"/>
          <w:noProof/>
          <w:color w:val="000000" w:themeColor="text1"/>
          <w:lang w:val="en-GB"/>
        </w:rPr>
        <w:t>50; severe, &gt;50)</w:t>
      </w:r>
      <w:r w:rsidRPr="00CF42A7">
        <w:rPr>
          <w:rFonts w:cstheme="minorHAnsi"/>
          <w:color w:val="000000" w:themeColor="text1"/>
          <w:lang w:val="en-GB"/>
        </w:rPr>
        <w:t xml:space="preserve"> </w:t>
      </w:r>
      <w:r w:rsidR="0002219D">
        <w:rPr>
          <w:rFonts w:cstheme="minorHAnsi"/>
          <w:color w:val="000000" w:themeColor="text1"/>
          <w:lang w:val="en-GB"/>
        </w:rPr>
        <w:t>[</w:t>
      </w:r>
      <w:r w:rsidRPr="0002219D">
        <w:rPr>
          <w:rFonts w:cstheme="minorHAnsi"/>
          <w:noProof/>
          <w:lang w:val="en-GB"/>
        </w:rPr>
        <w:t>32</w:t>
      </w:r>
      <w:r w:rsidR="0002219D">
        <w:rPr>
          <w:rFonts w:cstheme="minorHAnsi"/>
          <w:noProof/>
          <w:lang w:val="en-GB"/>
        </w:rPr>
        <w:t>]</w:t>
      </w:r>
      <w:r w:rsidRPr="00CF42A7">
        <w:rPr>
          <w:rFonts w:cstheme="minorHAnsi"/>
          <w:color w:val="000000" w:themeColor="text1"/>
          <w:lang w:val="en-GB"/>
        </w:rPr>
        <w:t xml:space="preserve">. </w:t>
      </w:r>
      <w:r w:rsidRPr="00CF42A7">
        <w:rPr>
          <w:rFonts w:cstheme="minorHAnsi"/>
          <w:lang w:val="en-US"/>
        </w:rPr>
        <w:t xml:space="preserve">Severity of depression was assessed according to DSM-V criteria with </w:t>
      </w:r>
      <w:r w:rsidR="0002219D">
        <w:rPr>
          <w:rFonts w:cstheme="minorHAnsi"/>
          <w:lang w:val="en-US"/>
        </w:rPr>
        <w:t xml:space="preserve">the </w:t>
      </w:r>
      <w:r w:rsidRPr="00CF42A7">
        <w:rPr>
          <w:rFonts w:cstheme="minorHAnsi"/>
          <w:lang w:val="en-US"/>
        </w:rPr>
        <w:t>HAM</w:t>
      </w:r>
      <w:r w:rsidR="00CC3C83" w:rsidRPr="00CF42A7">
        <w:rPr>
          <w:rFonts w:cstheme="minorHAnsi"/>
          <w:lang w:val="en-US"/>
        </w:rPr>
        <w:t>D</w:t>
      </w:r>
      <w:r w:rsidRPr="00CF42A7">
        <w:rPr>
          <w:rFonts w:cstheme="minorHAnsi"/>
          <w:lang w:val="en-US"/>
        </w:rPr>
        <w:t xml:space="preserve"> </w:t>
      </w:r>
      <w:r w:rsidR="0002219D">
        <w:rPr>
          <w:rFonts w:cstheme="minorHAnsi"/>
          <w:lang w:val="en-US"/>
        </w:rPr>
        <w:t>(</w:t>
      </w:r>
      <w:r w:rsidRPr="00CF42A7">
        <w:rPr>
          <w:rFonts w:cstheme="minorHAnsi"/>
          <w:noProof/>
          <w:color w:val="000000" w:themeColor="text1"/>
          <w:lang w:val="en-GB"/>
        </w:rPr>
        <w:t>absence, ≤7; mild, 8</w:t>
      </w:r>
      <w:r w:rsidR="0002219D">
        <w:rPr>
          <w:rFonts w:cstheme="minorHAnsi"/>
          <w:noProof/>
          <w:color w:val="000000" w:themeColor="text1"/>
          <w:lang w:val="en-GB"/>
        </w:rPr>
        <w:t>–</w:t>
      </w:r>
      <w:r w:rsidRPr="00CF42A7">
        <w:rPr>
          <w:rFonts w:cstheme="minorHAnsi"/>
          <w:noProof/>
          <w:color w:val="000000" w:themeColor="text1"/>
          <w:lang w:val="en-GB"/>
        </w:rPr>
        <w:t>16; moderate, 17</w:t>
      </w:r>
      <w:r w:rsidR="0002219D">
        <w:rPr>
          <w:rFonts w:cstheme="minorHAnsi"/>
          <w:noProof/>
          <w:color w:val="000000" w:themeColor="text1"/>
          <w:lang w:val="en-GB"/>
        </w:rPr>
        <w:t>–</w:t>
      </w:r>
      <w:r w:rsidRPr="00CF42A7">
        <w:rPr>
          <w:rFonts w:cstheme="minorHAnsi"/>
          <w:noProof/>
          <w:color w:val="000000" w:themeColor="text1"/>
          <w:lang w:val="en-GB"/>
        </w:rPr>
        <w:t>27; severe, ≤28</w:t>
      </w:r>
      <w:r w:rsidRPr="00CF42A7">
        <w:rPr>
          <w:rFonts w:cstheme="minorHAnsi"/>
          <w:lang w:val="en-US"/>
        </w:rPr>
        <w:t>).</w:t>
      </w:r>
    </w:p>
    <w:p w:rsidR="006F521C" w:rsidRPr="00CF42A7" w:rsidRDefault="006F521C" w:rsidP="006F521C">
      <w:pPr>
        <w:spacing w:after="0" w:line="480" w:lineRule="auto"/>
        <w:jc w:val="both"/>
        <w:rPr>
          <w:rFonts w:cstheme="minorHAnsi"/>
          <w:color w:val="000000" w:themeColor="text1"/>
          <w:lang w:val="en-US"/>
        </w:rPr>
      </w:pPr>
    </w:p>
    <w:p w:rsidR="006F521C" w:rsidRPr="0002219D" w:rsidRDefault="006F521C" w:rsidP="0002219D">
      <w:pPr>
        <w:spacing w:after="0" w:line="480" w:lineRule="auto"/>
        <w:jc w:val="both"/>
        <w:rPr>
          <w:rFonts w:cstheme="minorHAnsi"/>
          <w:i/>
          <w:color w:val="000000" w:themeColor="text1"/>
          <w:lang w:val="en-US"/>
        </w:rPr>
      </w:pPr>
      <w:r w:rsidRPr="0002219D">
        <w:rPr>
          <w:rFonts w:cstheme="minorHAnsi"/>
          <w:i/>
          <w:color w:val="000000" w:themeColor="text1"/>
          <w:lang w:val="en-US"/>
        </w:rPr>
        <w:t xml:space="preserve">Sample </w:t>
      </w:r>
      <w:r w:rsidR="0002219D" w:rsidRPr="0002219D">
        <w:rPr>
          <w:rFonts w:cstheme="minorHAnsi"/>
          <w:i/>
          <w:color w:val="000000" w:themeColor="text1"/>
          <w:lang w:val="en-US"/>
        </w:rPr>
        <w:t xml:space="preserve">Collection </w:t>
      </w:r>
      <w:r w:rsidRPr="0002219D">
        <w:rPr>
          <w:rFonts w:cstheme="minorHAnsi"/>
          <w:i/>
          <w:color w:val="000000" w:themeColor="text1"/>
          <w:lang w:val="en-US"/>
        </w:rPr>
        <w:t xml:space="preserve">and </w:t>
      </w:r>
      <w:r w:rsidR="0002219D" w:rsidRPr="0002219D">
        <w:rPr>
          <w:rFonts w:cstheme="minorHAnsi"/>
          <w:i/>
          <w:color w:val="000000" w:themeColor="text1"/>
          <w:lang w:val="en-US"/>
        </w:rPr>
        <w:t>Processing</w:t>
      </w:r>
    </w:p>
    <w:p w:rsidR="006F521C" w:rsidRPr="00CF42A7" w:rsidRDefault="006F521C" w:rsidP="006F521C">
      <w:pPr>
        <w:spacing w:after="0" w:line="480" w:lineRule="auto"/>
        <w:jc w:val="both"/>
        <w:rPr>
          <w:rFonts w:eastAsia="Calibri" w:cstheme="minorHAnsi"/>
          <w:color w:val="000000" w:themeColor="text1"/>
          <w:shd w:val="clear" w:color="auto" w:fill="FFFFFF"/>
          <w:lang w:val="en-GB" w:bidi="he-IL"/>
        </w:rPr>
      </w:pPr>
      <w:r w:rsidRPr="00CF42A7">
        <w:rPr>
          <w:rFonts w:eastAsia="Calibri" w:cstheme="minorHAnsi"/>
          <w:color w:val="000000" w:themeColor="text1"/>
          <w:lang w:val="en-GB"/>
        </w:rPr>
        <w:t>Blood was taken between 8</w:t>
      </w:r>
      <w:r w:rsidR="0002219D">
        <w:rPr>
          <w:rFonts w:eastAsia="Calibri" w:cstheme="minorHAnsi"/>
          <w:color w:val="000000" w:themeColor="text1"/>
          <w:lang w:val="en-GB"/>
        </w:rPr>
        <w:t xml:space="preserve"> and </w:t>
      </w:r>
      <w:r w:rsidRPr="00CF42A7">
        <w:rPr>
          <w:rFonts w:eastAsia="Calibri" w:cstheme="minorHAnsi"/>
          <w:color w:val="000000" w:themeColor="text1"/>
          <w:lang w:val="en-GB"/>
        </w:rPr>
        <w:t xml:space="preserve">10 a.m. to prevent daily variations on study baseline and week 10 and collected </w:t>
      </w:r>
      <w:r w:rsidR="0002219D">
        <w:rPr>
          <w:rFonts w:eastAsia="Calibri" w:cstheme="minorHAnsi"/>
          <w:color w:val="000000" w:themeColor="text1"/>
          <w:lang w:val="en-GB"/>
        </w:rPr>
        <w:t>in</w:t>
      </w:r>
      <w:r w:rsidRPr="00CF42A7">
        <w:rPr>
          <w:rFonts w:eastAsia="Calibri" w:cstheme="minorHAnsi"/>
          <w:color w:val="000000" w:themeColor="text1"/>
          <w:lang w:val="en-GB"/>
        </w:rPr>
        <w:t>to serum</w:t>
      </w:r>
      <w:r w:rsidR="0002219D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 xml:space="preserve">separation tubes.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Samples were cooled (1 h, 4°C) and centrifuged (2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000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 xml:space="preserve"> </w:t>
      </w:r>
      <w:r w:rsidRPr="00D30D34">
        <w:rPr>
          <w:rFonts w:eastAsia="Calibri" w:cstheme="minorHAnsi"/>
          <w:i/>
          <w:color w:val="000000" w:themeColor="text1"/>
          <w:shd w:val="clear" w:color="auto" w:fill="FFFFFF"/>
          <w:lang w:val="en-GB" w:bidi="he-IL"/>
        </w:rPr>
        <w:t>g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 xml:space="preserve">, 10 min, 25°C). </w:t>
      </w:r>
      <w:r w:rsidRPr="00CF42A7">
        <w:rPr>
          <w:rFonts w:eastAsia="Calibri" w:cstheme="minorHAnsi"/>
          <w:color w:val="000000" w:themeColor="text1"/>
          <w:lang w:val="en-GB" w:bidi="he-IL"/>
        </w:rPr>
        <w:t xml:space="preserve">Serum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 xml:space="preserve">was stored at 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>20°C before analysis.</w:t>
      </w:r>
    </w:p>
    <w:p w:rsidR="006F521C" w:rsidRPr="00CF42A7" w:rsidRDefault="006F521C" w:rsidP="006F521C">
      <w:pPr>
        <w:spacing w:after="0" w:line="480" w:lineRule="auto"/>
        <w:jc w:val="both"/>
        <w:rPr>
          <w:rFonts w:eastAsia="Calibri" w:cstheme="minorHAnsi"/>
          <w:color w:val="000000" w:themeColor="text1"/>
          <w:shd w:val="clear" w:color="auto" w:fill="FFFFFF"/>
          <w:lang w:val="en-GB" w:bidi="he-IL"/>
        </w:rPr>
      </w:pPr>
    </w:p>
    <w:p w:rsidR="006F521C" w:rsidRPr="00D5568A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</w:pPr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Analysis of </w:t>
      </w:r>
      <w:proofErr w:type="spellStart"/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IgE</w:t>
      </w:r>
      <w:proofErr w:type="spellEnd"/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, </w:t>
      </w:r>
      <w:r w:rsidR="00D30D34"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Cortisol</w:t>
      </w:r>
      <w:r w:rsidR="00D30D34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,</w:t>
      </w:r>
      <w:r w:rsidR="00D30D34"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 xml:space="preserve">and </w:t>
      </w:r>
      <w:r w:rsidR="00D30D34"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Testosterone Le</w:t>
      </w:r>
      <w:r w:rsidRPr="00D5568A">
        <w:rPr>
          <w:rFonts w:eastAsia="Calibri" w:cstheme="minorHAnsi"/>
          <w:bCs/>
          <w:i/>
          <w:iCs/>
          <w:color w:val="000000" w:themeColor="text1"/>
          <w:sz w:val="24"/>
          <w:szCs w:val="24"/>
          <w:lang w:val="en-GB"/>
        </w:rPr>
        <w:t>vels</w:t>
      </w:r>
    </w:p>
    <w:p w:rsidR="006F521C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color w:val="000000" w:themeColor="text1"/>
          <w:shd w:val="clear" w:color="auto" w:fill="FFFFFF"/>
          <w:lang w:val="en-US"/>
        </w:rPr>
      </w:pPr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lastRenderedPageBreak/>
        <w:t xml:space="preserve">The total </w:t>
      </w:r>
      <w:proofErr w:type="spellStart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IgE</w:t>
      </w:r>
      <w:proofErr w:type="spellEnd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 (normal ranges up to 100.0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IU/m</w:t>
      </w:r>
      <w:r w:rsidR="00D30D34"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L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)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, cortisol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 and testosterone levels were detected using 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a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solid-phase, chemiluminescent immunometric assay in an </w:t>
      </w:r>
      <w:proofErr w:type="spellStart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Immulite</w:t>
      </w:r>
      <w:proofErr w:type="spellEnd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/</w:t>
      </w:r>
      <w:proofErr w:type="spellStart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>Immulite</w:t>
      </w:r>
      <w:proofErr w:type="spellEnd"/>
      <w:r w:rsidRPr="00CF42A7">
        <w:rPr>
          <w:rFonts w:eastAsia="Calibri" w:cstheme="minorHAnsi"/>
          <w:color w:val="000000" w:themeColor="text1"/>
          <w:shd w:val="clear" w:color="auto" w:fill="FFFFFF"/>
          <w:lang w:val="en-GB"/>
        </w:rPr>
        <w:t xml:space="preserve"> 1000 (Siemens, Germany)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GB" w:bidi="he-IL"/>
        </w:rPr>
        <w:t xml:space="preserve">.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 xml:space="preserve">Normal ranges were as follow: </w:t>
      </w:r>
      <w:proofErr w:type="spellStart"/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>IgE</w:t>
      </w:r>
      <w:proofErr w:type="spellEnd"/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 xml:space="preserve"> levels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 xml:space="preserve"> 0.000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 w:bidi="he-IL"/>
        </w:rPr>
        <w:t xml:space="preserve">100.0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IU/m</w:t>
      </w:r>
      <w:r w:rsidR="00D30D34"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L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; cortisol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138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690 nmol/L; testosterone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men 20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49 years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72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853</w:t>
      </w:r>
      <w:r w:rsidR="00D30D34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ng/dL; men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≥50 years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129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767 ng/dL; women ovulating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0.010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73.0 ng/dL; women postmenopausal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,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 xml:space="preserve"> 0.010</w:t>
      </w:r>
      <w:r w:rsidR="00825E55">
        <w:rPr>
          <w:rFonts w:eastAsia="Calibri" w:cstheme="minorHAnsi"/>
          <w:color w:val="000000" w:themeColor="text1"/>
          <w:shd w:val="clear" w:color="auto" w:fill="FFFFFF"/>
          <w:lang w:val="en-US"/>
        </w:rPr>
        <w:t>–</w:t>
      </w:r>
      <w:r w:rsidRPr="00CF42A7">
        <w:rPr>
          <w:rFonts w:eastAsia="Calibri" w:cstheme="minorHAnsi"/>
          <w:color w:val="000000" w:themeColor="text1"/>
          <w:shd w:val="clear" w:color="auto" w:fill="FFFFFF"/>
          <w:lang w:val="en-US"/>
        </w:rPr>
        <w:t>43.0 ng/dL.</w:t>
      </w:r>
    </w:p>
    <w:p w:rsidR="00825E55" w:rsidRPr="00CF42A7" w:rsidRDefault="00825E55" w:rsidP="006F521C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color w:val="000000" w:themeColor="text1"/>
          <w:shd w:val="clear" w:color="auto" w:fill="FFFFFF"/>
          <w:lang w:val="en-US" w:bidi="he-IL"/>
        </w:rPr>
      </w:pPr>
    </w:p>
    <w:p w:rsidR="006F521C" w:rsidRPr="00825E55" w:rsidRDefault="006F521C" w:rsidP="00825E55">
      <w:pPr>
        <w:autoSpaceDE w:val="0"/>
        <w:autoSpaceDN w:val="0"/>
        <w:adjustRightInd w:val="0"/>
        <w:spacing w:after="0" w:line="480" w:lineRule="auto"/>
        <w:jc w:val="both"/>
        <w:rPr>
          <w:rFonts w:eastAsia="Calibri" w:cstheme="minorHAnsi"/>
          <w:i/>
          <w:color w:val="000000" w:themeColor="text1"/>
          <w:shd w:val="clear" w:color="auto" w:fill="FFFFFF"/>
          <w:lang w:val="en-US"/>
        </w:rPr>
      </w:pPr>
      <w:r w:rsidRPr="00825E55">
        <w:rPr>
          <w:rFonts w:eastAsia="Calibri" w:cstheme="minorHAnsi"/>
          <w:i/>
          <w:color w:val="000000" w:themeColor="text1"/>
          <w:shd w:val="clear" w:color="auto" w:fill="FFFFFF"/>
          <w:lang w:val="en-US"/>
        </w:rPr>
        <w:t>Statistics and Sample Size</w:t>
      </w:r>
    </w:p>
    <w:p w:rsidR="006F521C" w:rsidRPr="00CF42A7" w:rsidRDefault="006F521C" w:rsidP="006F521C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 w:themeColor="text1"/>
          <w:lang w:val="en-GB"/>
        </w:rPr>
      </w:pPr>
      <w:r w:rsidRPr="00CF42A7">
        <w:rPr>
          <w:rFonts w:eastAsia="Calibri" w:cstheme="minorHAnsi"/>
          <w:color w:val="000000" w:themeColor="text1"/>
          <w:lang w:val="en-GB"/>
        </w:rPr>
        <w:t>Unpaired, two-way ANOVA and Bonferroni means separation tests were used for multiple group comparisons using an α/m Bonferroni correction to account for missing data and dropped patients. Spearman correlations were conducted using pairwise deletion for missing values at an α</w:t>
      </w:r>
      <w:r w:rsidR="00317B4D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=</w:t>
      </w:r>
      <w:r w:rsidR="00317B4D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0.05 threshold for significance. Data are presented as mean</w:t>
      </w:r>
      <w:r w:rsidR="00317B4D">
        <w:rPr>
          <w:rFonts w:eastAsia="Calibri" w:cstheme="minorHAnsi"/>
          <w:color w:val="000000" w:themeColor="text1"/>
          <w:lang w:val="en-GB"/>
        </w:rPr>
        <w:t>s</w:t>
      </w:r>
      <w:r w:rsidRPr="00CF42A7">
        <w:rPr>
          <w:rFonts w:eastAsia="Calibri" w:cstheme="minorHAnsi"/>
          <w:color w:val="000000" w:themeColor="text1"/>
          <w:lang w:val="en-GB"/>
        </w:rPr>
        <w:t xml:space="preserve"> ±</w:t>
      </w:r>
      <w:r w:rsidR="00317B4D">
        <w:rPr>
          <w:rFonts w:eastAsia="Calibri" w:cstheme="minorHAnsi"/>
          <w:color w:val="000000" w:themeColor="text1"/>
          <w:lang w:val="en-GB"/>
        </w:rPr>
        <w:t xml:space="preserve"> </w:t>
      </w:r>
      <w:r w:rsidRPr="00CF42A7">
        <w:rPr>
          <w:rFonts w:eastAsia="Calibri" w:cstheme="minorHAnsi"/>
          <w:color w:val="000000" w:themeColor="text1"/>
          <w:lang w:val="en-GB"/>
        </w:rPr>
        <w:t>SEM. Based on SCORAD pilot data</w:t>
      </w:r>
      <w:r w:rsidR="00317B4D">
        <w:rPr>
          <w:rFonts w:eastAsia="Calibri" w:cstheme="minorHAnsi"/>
          <w:color w:val="000000" w:themeColor="text1"/>
          <w:lang w:val="en-GB"/>
        </w:rPr>
        <w:t>,</w:t>
      </w:r>
      <w:r w:rsidRPr="00CF42A7">
        <w:rPr>
          <w:rFonts w:eastAsia="Calibri" w:cstheme="minorHAnsi"/>
          <w:color w:val="000000" w:themeColor="text1"/>
          <w:lang w:val="en-GB"/>
        </w:rPr>
        <w:t xml:space="preserve"> we determined that sample sizes of at least 16 patients per group were required to see differences between EAD and IAD patients (1</w:t>
      </w:r>
      <w:r w:rsidR="00317B4D">
        <w:rPr>
          <w:rFonts w:eastAsia="Calibri" w:cstheme="minorHAnsi"/>
          <w:color w:val="000000" w:themeColor="text1"/>
          <w:lang w:val="en-GB"/>
        </w:rPr>
        <w:t xml:space="preserve"> – </w:t>
      </w:r>
      <w:r w:rsidRPr="00CF42A7">
        <w:rPr>
          <w:rFonts w:eastAsia="Calibri" w:cstheme="minorHAnsi"/>
          <w:color w:val="000000" w:themeColor="text1"/>
          <w:lang w:val="en-GB"/>
        </w:rPr>
        <w:t>β</w:t>
      </w:r>
      <w:r w:rsidRPr="00CF42A7">
        <w:rPr>
          <w:rFonts w:eastAsia="Calibri" w:cstheme="minorHAnsi"/>
          <w:color w:val="000000" w:themeColor="text1"/>
          <w:lang w:val="en-US"/>
        </w:rPr>
        <w:t>:</w:t>
      </w:r>
      <w:r w:rsidR="00317B4D">
        <w:rPr>
          <w:rFonts w:eastAsia="Calibri" w:cstheme="minorHAnsi"/>
          <w:color w:val="000000" w:themeColor="text1"/>
          <w:lang w:val="en-US"/>
        </w:rPr>
        <w:t xml:space="preserve"> </w:t>
      </w:r>
      <w:r w:rsidRPr="00CF42A7">
        <w:rPr>
          <w:rFonts w:eastAsia="Calibri" w:cstheme="minorHAnsi"/>
          <w:color w:val="000000" w:themeColor="text1"/>
          <w:lang w:val="en-US"/>
        </w:rPr>
        <w:t>0.080, α: 5%)</w:t>
      </w:r>
      <w:r w:rsidRPr="00CF42A7">
        <w:rPr>
          <w:rFonts w:eastAsia="Calibri" w:cstheme="minorHAnsi"/>
          <w:color w:val="000000" w:themeColor="text1"/>
          <w:lang w:val="en-GB"/>
        </w:rPr>
        <w:t>.</w:t>
      </w:r>
    </w:p>
    <w:p w:rsidR="006F521C" w:rsidRPr="00CF42A7" w:rsidRDefault="006F521C" w:rsidP="006F521C">
      <w:pPr>
        <w:spacing w:after="0" w:line="480" w:lineRule="auto"/>
        <w:rPr>
          <w:rFonts w:cstheme="minorHAnsi"/>
          <w:b/>
          <w:lang w:val="en-GB"/>
        </w:rPr>
      </w:pPr>
    </w:p>
    <w:p w:rsidR="004E7EFF" w:rsidRPr="00CF42A7" w:rsidRDefault="004E7EFF">
      <w:pPr>
        <w:rPr>
          <w:rFonts w:cstheme="minorHAnsi"/>
          <w:lang w:val="en-GB"/>
        </w:rPr>
      </w:pPr>
      <w:bookmarkStart w:id="0" w:name="_GoBack"/>
      <w:bookmarkEnd w:id="0"/>
    </w:p>
    <w:sectPr w:rsidR="004E7EFF" w:rsidRPr="00CF4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7D37"/>
    <w:rsid w:val="0002219D"/>
    <w:rsid w:val="00177D37"/>
    <w:rsid w:val="00317B4D"/>
    <w:rsid w:val="00367417"/>
    <w:rsid w:val="004D446F"/>
    <w:rsid w:val="004E7EFF"/>
    <w:rsid w:val="00673964"/>
    <w:rsid w:val="006F521C"/>
    <w:rsid w:val="00825E55"/>
    <w:rsid w:val="00984BF1"/>
    <w:rsid w:val="009D513B"/>
    <w:rsid w:val="00B7712A"/>
    <w:rsid w:val="00CC3C83"/>
    <w:rsid w:val="00CF42A7"/>
    <w:rsid w:val="00D30D34"/>
    <w:rsid w:val="00D5568A"/>
    <w:rsid w:val="00E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45781"/>
  <w15:docId w15:val="{945C9106-EC9D-4B53-974A-DFCBE1609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521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F5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718</Words>
  <Characters>4524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Elisabeth Stöcklin</cp:lastModifiedBy>
  <cp:revision>6</cp:revision>
  <dcterms:created xsi:type="dcterms:W3CDTF">2019-08-25T10:41:00Z</dcterms:created>
  <dcterms:modified xsi:type="dcterms:W3CDTF">2019-12-03T08:32:00Z</dcterms:modified>
</cp:coreProperties>
</file>