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C9E" w:rsidRPr="00166188" w:rsidRDefault="005B5C9E" w:rsidP="005B5C9E">
      <w:pPr>
        <w:spacing w:before="240" w:after="120" w:line="480" w:lineRule="auto"/>
        <w:jc w:val="both"/>
        <w:rPr>
          <w:rFonts w:ascii="Times New Roman" w:hAnsi="Times New Roman" w:cs="Times New Roman"/>
          <w:b/>
          <w:sz w:val="24"/>
          <w:szCs w:val="24"/>
          <w:lang w:val="en-US"/>
        </w:rPr>
      </w:pPr>
      <w:r w:rsidRPr="00166188">
        <w:rPr>
          <w:rFonts w:ascii="Times New Roman" w:hAnsi="Times New Roman" w:cs="Times New Roman"/>
          <w:b/>
          <w:sz w:val="24"/>
          <w:szCs w:val="24"/>
          <w:lang w:val="en-US"/>
        </w:rPr>
        <w:t xml:space="preserve">Materials and </w:t>
      </w:r>
      <w:r w:rsidR="00083388" w:rsidRPr="00166188">
        <w:rPr>
          <w:rFonts w:ascii="Times New Roman" w:hAnsi="Times New Roman" w:cs="Times New Roman"/>
          <w:b/>
          <w:sz w:val="24"/>
          <w:szCs w:val="24"/>
          <w:lang w:val="en-US"/>
        </w:rPr>
        <w:t>M</w:t>
      </w:r>
      <w:r w:rsidRPr="00166188">
        <w:rPr>
          <w:rFonts w:ascii="Times New Roman" w:hAnsi="Times New Roman" w:cs="Times New Roman"/>
          <w:b/>
          <w:sz w:val="24"/>
          <w:szCs w:val="24"/>
          <w:lang w:val="en-US"/>
        </w:rPr>
        <w:t>ethods</w:t>
      </w:r>
    </w:p>
    <w:p w:rsidR="005B5C9E" w:rsidRPr="00166188" w:rsidRDefault="005B5C9E" w:rsidP="005B5C9E">
      <w:pPr>
        <w:spacing w:before="240" w:after="120" w:line="480" w:lineRule="auto"/>
        <w:jc w:val="both"/>
        <w:rPr>
          <w:rFonts w:ascii="Times New Roman" w:hAnsi="Times New Roman" w:cs="Times New Roman"/>
          <w:sz w:val="24"/>
          <w:szCs w:val="24"/>
          <w:lang w:val="en-US"/>
        </w:rPr>
      </w:pPr>
      <w:r w:rsidRPr="00166188">
        <w:rPr>
          <w:rFonts w:ascii="Times New Roman" w:hAnsi="Times New Roman" w:cs="Times New Roman"/>
          <w:i/>
          <w:sz w:val="24"/>
          <w:szCs w:val="24"/>
          <w:lang w:val="en-US"/>
        </w:rPr>
        <w:t xml:space="preserve">Study </w:t>
      </w:r>
      <w:r w:rsidR="00083388" w:rsidRPr="00166188">
        <w:rPr>
          <w:rFonts w:ascii="Times New Roman" w:hAnsi="Times New Roman" w:cs="Times New Roman"/>
          <w:i/>
          <w:sz w:val="24"/>
          <w:szCs w:val="24"/>
          <w:lang w:val="en-US"/>
        </w:rPr>
        <w:t>C</w:t>
      </w:r>
      <w:r w:rsidRPr="00166188">
        <w:rPr>
          <w:rFonts w:ascii="Times New Roman" w:hAnsi="Times New Roman" w:cs="Times New Roman"/>
          <w:i/>
          <w:sz w:val="24"/>
          <w:szCs w:val="24"/>
          <w:lang w:val="en-US"/>
        </w:rPr>
        <w:t>ohort</w:t>
      </w:r>
    </w:p>
    <w:p w:rsidR="005B5C9E" w:rsidRPr="00166188" w:rsidRDefault="005B5C9E" w:rsidP="005B5C9E">
      <w:pPr>
        <w:pStyle w:val="StandardWeb"/>
        <w:shd w:val="clear" w:color="auto" w:fill="FFFFFF"/>
        <w:spacing w:before="0" w:beforeAutospacing="0" w:after="0" w:afterAutospacing="0" w:line="480" w:lineRule="auto"/>
        <w:jc w:val="both"/>
        <w:rPr>
          <w:lang w:val="en-US"/>
        </w:rPr>
      </w:pPr>
      <w:r w:rsidRPr="00166188">
        <w:rPr>
          <w:lang w:val="en-US"/>
        </w:rPr>
        <w:t>The study was conducted at the Department of Dermatology, Venerology and Allergology, Wroc</w:t>
      </w:r>
      <w:r w:rsidR="0022274A" w:rsidRPr="00166188">
        <w:rPr>
          <w:lang w:val="en-US"/>
        </w:rPr>
        <w:t>ł</w:t>
      </w:r>
      <w:r w:rsidRPr="00166188">
        <w:rPr>
          <w:lang w:val="en-US"/>
        </w:rPr>
        <w:t>aw Medical University, Poland</w:t>
      </w:r>
      <w:r w:rsidR="00083388" w:rsidRPr="00166188">
        <w:rPr>
          <w:lang w:val="en-US"/>
        </w:rPr>
        <w:t>,</w:t>
      </w:r>
      <w:r w:rsidRPr="00166188">
        <w:rPr>
          <w:lang w:val="en-US"/>
        </w:rPr>
        <w:t xml:space="preserve"> on a group of 74 patients (37 women</w:t>
      </w:r>
      <w:r w:rsidR="0022274A" w:rsidRPr="00166188">
        <w:rPr>
          <w:lang w:val="en-US"/>
        </w:rPr>
        <w:t>; the</w:t>
      </w:r>
      <w:r w:rsidRPr="00166188">
        <w:rPr>
          <w:lang w:val="en-US"/>
        </w:rPr>
        <w:t xml:space="preserve"> age range was </w:t>
      </w:r>
      <w:r w:rsidRPr="00166188">
        <w:rPr>
          <w:bCs/>
          <w:lang w:val="en-US"/>
        </w:rPr>
        <w:t>18</w:t>
      </w:r>
      <w:r w:rsidR="0022274A" w:rsidRPr="00166188">
        <w:rPr>
          <w:bCs/>
          <w:lang w:val="en-US"/>
        </w:rPr>
        <w:t>–</w:t>
      </w:r>
      <w:r w:rsidRPr="00166188">
        <w:rPr>
          <w:bCs/>
          <w:lang w:val="en-US"/>
        </w:rPr>
        <w:t>68 years</w:t>
      </w:r>
      <w:r w:rsidRPr="00166188">
        <w:rPr>
          <w:lang w:val="en-US"/>
        </w:rPr>
        <w:t xml:space="preserve">), with HS diagnosed in accordance </w:t>
      </w:r>
      <w:r w:rsidR="0022274A" w:rsidRPr="00166188">
        <w:rPr>
          <w:lang w:val="en-US"/>
        </w:rPr>
        <w:t>with</w:t>
      </w:r>
      <w:r w:rsidRPr="00166188">
        <w:rPr>
          <w:lang w:val="en-US"/>
        </w:rPr>
        <w:t xml:space="preserve"> well-established standards [14]. Exclusion criteria for this study </w:t>
      </w:r>
      <w:r w:rsidR="0022274A" w:rsidRPr="00166188">
        <w:rPr>
          <w:lang w:val="en-US"/>
        </w:rPr>
        <w:t>were</w:t>
      </w:r>
      <w:r w:rsidRPr="00166188">
        <w:rPr>
          <w:lang w:val="en-US"/>
        </w:rPr>
        <w:t xml:space="preserve">: </w:t>
      </w:r>
      <w:bookmarkStart w:id="0" w:name="_Hlk17307618"/>
      <w:r w:rsidRPr="00166188">
        <w:rPr>
          <w:lang w:val="en-US"/>
        </w:rPr>
        <w:t>(i) any acute or chronic illness that might influence iron metabolism (including infection, known malignancy, chronic kidney disease, chronic cardiovascular diseases and hematological diseases) and (ii) treatment for anemia or ID in the previous 12 months. None of the patients received any biologic treatment before entering the study.</w:t>
      </w:r>
      <w:bookmarkEnd w:id="0"/>
      <w:r w:rsidRPr="00166188">
        <w:rPr>
          <w:lang w:val="en-US"/>
        </w:rPr>
        <w:t xml:space="preserve"> The clinical evaluation </w:t>
      </w:r>
      <w:bookmarkStart w:id="1" w:name="_Hlk17307823"/>
      <w:r w:rsidRPr="00166188">
        <w:rPr>
          <w:lang w:val="en-US"/>
        </w:rPr>
        <w:t xml:space="preserve">of HS severity was made according to </w:t>
      </w:r>
      <w:r w:rsidR="0022274A" w:rsidRPr="00166188">
        <w:rPr>
          <w:lang w:val="en-US"/>
        </w:rPr>
        <w:t xml:space="preserve">the </w:t>
      </w:r>
      <w:r w:rsidRPr="00166188">
        <w:rPr>
          <w:lang w:val="en-US"/>
        </w:rPr>
        <w:t xml:space="preserve">Hidradenitis Suppurativa Severity Index (HSSI) and </w:t>
      </w:r>
      <w:r w:rsidR="000C75B4" w:rsidRPr="00166188">
        <w:rPr>
          <w:lang w:val="en-US"/>
        </w:rPr>
        <w:t xml:space="preserve">the </w:t>
      </w:r>
      <w:r w:rsidRPr="00166188">
        <w:rPr>
          <w:lang w:val="en-US"/>
        </w:rPr>
        <w:t xml:space="preserve">3-degree scale proposed by </w:t>
      </w:r>
      <w:r w:rsidR="00B35E52" w:rsidRPr="00166188">
        <w:rPr>
          <w:lang w:val="en-US"/>
        </w:rPr>
        <w:t xml:space="preserve">Sartorius et al. [15] and </w:t>
      </w:r>
      <w:r w:rsidRPr="00166188">
        <w:rPr>
          <w:lang w:val="en-US"/>
        </w:rPr>
        <w:t>Hurley</w:t>
      </w:r>
      <w:bookmarkEnd w:id="1"/>
      <w:r w:rsidRPr="00166188">
        <w:rPr>
          <w:lang w:val="en-US"/>
        </w:rPr>
        <w:t xml:space="preserve"> [16]. </w:t>
      </w:r>
      <w:r w:rsidRPr="00166188">
        <w:rPr>
          <w:rFonts w:eastAsia="TimesNewRomanPSMT"/>
          <w:lang w:val="en-US"/>
        </w:rPr>
        <w:t xml:space="preserve">With regard to </w:t>
      </w:r>
      <w:r w:rsidR="00B35E52" w:rsidRPr="00166188">
        <w:rPr>
          <w:rFonts w:eastAsia="TimesNewRomanPSMT"/>
          <w:lang w:val="en-US"/>
        </w:rPr>
        <w:t xml:space="preserve">the </w:t>
      </w:r>
      <w:r w:rsidRPr="00166188">
        <w:rPr>
          <w:rFonts w:eastAsia="TimesNewRomanPSMT"/>
          <w:lang w:val="en-US"/>
        </w:rPr>
        <w:t>HSSI, patients were classified as having mild (0</w:t>
      </w:r>
      <w:r w:rsidR="00B35E52" w:rsidRPr="00166188">
        <w:rPr>
          <w:rFonts w:eastAsia="TimesNewRomanPSMT"/>
          <w:lang w:val="en-US"/>
        </w:rPr>
        <w:t>–</w:t>
      </w:r>
      <w:r w:rsidRPr="00166188">
        <w:rPr>
          <w:rFonts w:eastAsia="TimesNewRomanPSMT"/>
          <w:lang w:val="en-US"/>
        </w:rPr>
        <w:t>7 points), moderate (8</w:t>
      </w:r>
      <w:r w:rsidR="00B35E52" w:rsidRPr="00166188">
        <w:rPr>
          <w:rFonts w:eastAsia="TimesNewRomanPSMT"/>
          <w:lang w:val="en-US"/>
        </w:rPr>
        <w:t>–</w:t>
      </w:r>
      <w:r w:rsidRPr="00166188">
        <w:rPr>
          <w:rFonts w:eastAsia="TimesNewRomanPSMT"/>
          <w:lang w:val="en-US"/>
        </w:rPr>
        <w:t>12 points) and severe</w:t>
      </w:r>
      <w:r w:rsidRPr="00166188">
        <w:rPr>
          <w:lang w:val="en-US"/>
        </w:rPr>
        <w:t xml:space="preserve"> </w:t>
      </w:r>
      <w:r w:rsidRPr="00166188">
        <w:rPr>
          <w:rFonts w:eastAsia="TimesNewRomanPSMT"/>
          <w:lang w:val="en-US"/>
        </w:rPr>
        <w:t>(≥13 points) disease [17].</w:t>
      </w:r>
      <w:r w:rsidRPr="00166188">
        <w:rPr>
          <w:lang w:val="en-US"/>
        </w:rPr>
        <w:t xml:space="preserve"> </w:t>
      </w:r>
      <w:bookmarkStart w:id="2" w:name="_Hlk4614062"/>
      <w:r w:rsidRPr="00166188">
        <w:rPr>
          <w:lang w:val="en-US"/>
        </w:rPr>
        <w:t>Clinical characteristics</w:t>
      </w:r>
      <w:bookmarkEnd w:id="2"/>
      <w:r w:rsidRPr="00166188">
        <w:rPr>
          <w:lang w:val="en-US"/>
        </w:rPr>
        <w:t xml:space="preserve"> of patients are presented in Table 1. </w:t>
      </w:r>
    </w:p>
    <w:p w:rsidR="005B5C9E" w:rsidRPr="00166188" w:rsidRDefault="005B5C9E" w:rsidP="005B5C9E">
      <w:pPr>
        <w:pStyle w:val="StandardWeb"/>
        <w:shd w:val="clear" w:color="auto" w:fill="FFFFFF"/>
        <w:spacing w:before="0" w:beforeAutospacing="0" w:after="0" w:afterAutospacing="0" w:line="480" w:lineRule="auto"/>
        <w:jc w:val="both"/>
        <w:rPr>
          <w:lang w:val="en-US"/>
        </w:rPr>
      </w:pPr>
      <w:r w:rsidRPr="00166188">
        <w:rPr>
          <w:lang w:val="en-US"/>
        </w:rPr>
        <w:t xml:space="preserve">Thirty-two healthy subjects </w:t>
      </w:r>
      <w:bookmarkStart w:id="3" w:name="_Hlk17307519"/>
      <w:r w:rsidRPr="00166188">
        <w:rPr>
          <w:lang w:val="en-US"/>
        </w:rPr>
        <w:t>(10 women, age: 50</w:t>
      </w:r>
      <w:r w:rsidR="00B35E52" w:rsidRPr="00166188">
        <w:rPr>
          <w:lang w:val="en-US"/>
        </w:rPr>
        <w:t xml:space="preserve"> </w:t>
      </w:r>
      <w:r w:rsidRPr="00166188">
        <w:rPr>
          <w:lang w:val="en-US"/>
        </w:rPr>
        <w:t>±</w:t>
      </w:r>
      <w:r w:rsidR="00B35E52" w:rsidRPr="00166188">
        <w:rPr>
          <w:lang w:val="en-US"/>
        </w:rPr>
        <w:t xml:space="preserve"> </w:t>
      </w:r>
      <w:r w:rsidRPr="00166188">
        <w:rPr>
          <w:lang w:val="en-US"/>
        </w:rPr>
        <w:t xml:space="preserve">5 years) </w:t>
      </w:r>
      <w:bookmarkEnd w:id="3"/>
      <w:r w:rsidRPr="00166188">
        <w:rPr>
          <w:lang w:val="en-US"/>
        </w:rPr>
        <w:t xml:space="preserve">were recruited for the study. The criteria for inclusion were: age </w:t>
      </w:r>
      <w:r w:rsidRPr="00166188">
        <w:rPr>
          <w:u w:val="single"/>
          <w:lang w:val="en-US"/>
        </w:rPr>
        <w:t>&gt;</w:t>
      </w:r>
      <w:r w:rsidRPr="00166188">
        <w:rPr>
          <w:lang w:val="en-US"/>
        </w:rPr>
        <w:t>18 years, absence of any acute (occurring in the previous 6 months) or chronic disease and related therapy. The study protocol was approved by the local ethics committee</w:t>
      </w:r>
      <w:r w:rsidR="00B35E52" w:rsidRPr="00166188">
        <w:rPr>
          <w:lang w:val="en-US"/>
        </w:rPr>
        <w:t>,</w:t>
      </w:r>
      <w:r w:rsidRPr="00166188">
        <w:rPr>
          <w:lang w:val="en-US"/>
        </w:rPr>
        <w:t xml:space="preserve"> and all subjects gave </w:t>
      </w:r>
      <w:r w:rsidR="00B35E52" w:rsidRPr="00166188">
        <w:rPr>
          <w:lang w:val="en-US"/>
        </w:rPr>
        <w:t xml:space="preserve">their </w:t>
      </w:r>
      <w:r w:rsidRPr="00166188">
        <w:rPr>
          <w:lang w:val="en-US"/>
        </w:rPr>
        <w:t>written informed consent. The study was conducted in accordance with the Declaration of Helsinki.</w:t>
      </w:r>
    </w:p>
    <w:p w:rsidR="005B5C9E" w:rsidRPr="00166188" w:rsidRDefault="005B5C9E" w:rsidP="005B5C9E">
      <w:pPr>
        <w:pStyle w:val="StandardWeb"/>
        <w:shd w:val="clear" w:color="auto" w:fill="FFFFFF"/>
        <w:spacing w:before="120" w:beforeAutospacing="0" w:after="0" w:afterAutospacing="0" w:line="480" w:lineRule="auto"/>
        <w:jc w:val="both"/>
        <w:rPr>
          <w:i/>
          <w:lang w:val="en-US"/>
        </w:rPr>
      </w:pPr>
      <w:r w:rsidRPr="00166188">
        <w:rPr>
          <w:i/>
          <w:lang w:val="en-US"/>
        </w:rPr>
        <w:t xml:space="preserve">Hematinics and </w:t>
      </w:r>
      <w:r w:rsidR="00B35E52" w:rsidRPr="00166188">
        <w:rPr>
          <w:i/>
          <w:lang w:val="en-US"/>
        </w:rPr>
        <w:t xml:space="preserve">Biomarkers </w:t>
      </w:r>
      <w:r w:rsidRPr="00166188">
        <w:rPr>
          <w:i/>
          <w:lang w:val="en-US"/>
        </w:rPr>
        <w:t xml:space="preserve">of </w:t>
      </w:r>
      <w:r w:rsidR="00B35E52" w:rsidRPr="00166188">
        <w:rPr>
          <w:i/>
          <w:lang w:val="en-US"/>
        </w:rPr>
        <w:t>Iron St</w:t>
      </w:r>
      <w:r w:rsidRPr="00166188">
        <w:rPr>
          <w:i/>
          <w:lang w:val="en-US"/>
        </w:rPr>
        <w:t xml:space="preserve">atus </w:t>
      </w:r>
    </w:p>
    <w:p w:rsidR="005B5C9E" w:rsidRPr="00166188" w:rsidRDefault="005B5C9E" w:rsidP="005B5C9E">
      <w:pPr>
        <w:pStyle w:val="StandardWeb"/>
        <w:shd w:val="clear" w:color="auto" w:fill="FFFFFF"/>
        <w:spacing w:before="0" w:beforeAutospacing="0" w:after="0" w:afterAutospacing="0" w:line="480" w:lineRule="auto"/>
        <w:jc w:val="both"/>
        <w:rPr>
          <w:rStyle w:val="ilfuvd"/>
          <w:lang w:val="en-US"/>
        </w:rPr>
      </w:pPr>
      <w:r w:rsidRPr="00166188">
        <w:rPr>
          <w:lang w:val="en-US"/>
        </w:rPr>
        <w:t>In all HS patients and healthy subjects</w:t>
      </w:r>
      <w:r w:rsidR="00B35E52" w:rsidRPr="00166188">
        <w:rPr>
          <w:lang w:val="en-US"/>
        </w:rPr>
        <w:t>,</w:t>
      </w:r>
      <w:r w:rsidRPr="00166188">
        <w:rPr>
          <w:lang w:val="en-US"/>
        </w:rPr>
        <w:t xml:space="preserve"> venous blood samples were taken in the morning after an overnight fast, following at least 15 min of supine rest. Hematological parameters were made from fresh venous blood with EDTA and clotted blood. After centrifuging, the plasma and serum were collected and frozen at </w:t>
      </w:r>
      <w:r w:rsidR="00B35E52" w:rsidRPr="00166188">
        <w:rPr>
          <w:lang w:val="en-US"/>
        </w:rPr>
        <w:t>–</w:t>
      </w:r>
      <w:r w:rsidRPr="00166188">
        <w:rPr>
          <w:lang w:val="en-US"/>
        </w:rPr>
        <w:t>70</w:t>
      </w:r>
      <w:r w:rsidRPr="00166188">
        <w:rPr>
          <w:rStyle w:val="ilfuvd"/>
          <w:lang w:val="en-US"/>
        </w:rPr>
        <w:t>°C until further analysis in our laboratory.</w:t>
      </w:r>
    </w:p>
    <w:p w:rsidR="005B5C9E" w:rsidRPr="00166188" w:rsidRDefault="005B5C9E" w:rsidP="005B5C9E">
      <w:pPr>
        <w:spacing w:line="480" w:lineRule="auto"/>
        <w:jc w:val="both"/>
        <w:rPr>
          <w:rFonts w:ascii="Times New Roman" w:hAnsi="Times New Roman" w:cs="Times New Roman"/>
          <w:sz w:val="24"/>
          <w:szCs w:val="24"/>
          <w:vertAlign w:val="superscript"/>
          <w:lang w:val="en-US"/>
        </w:rPr>
      </w:pPr>
      <w:r w:rsidRPr="00166188">
        <w:rPr>
          <w:rStyle w:val="ilfuvd"/>
          <w:rFonts w:ascii="Times New Roman" w:hAnsi="Times New Roman" w:cs="Times New Roman"/>
          <w:sz w:val="24"/>
          <w:szCs w:val="24"/>
          <w:lang w:val="en-US"/>
        </w:rPr>
        <w:lastRenderedPageBreak/>
        <w:t xml:space="preserve">The following </w:t>
      </w:r>
      <w:bookmarkStart w:id="4" w:name="_Hlk17308223"/>
      <w:r w:rsidRPr="00166188">
        <w:rPr>
          <w:rStyle w:val="ilfuvd"/>
          <w:rFonts w:ascii="Times New Roman" w:hAnsi="Times New Roman" w:cs="Times New Roman"/>
          <w:sz w:val="24"/>
          <w:szCs w:val="24"/>
          <w:lang w:val="en-US"/>
        </w:rPr>
        <w:t>hematinics</w:t>
      </w:r>
      <w:bookmarkEnd w:id="4"/>
      <w:r w:rsidRPr="00166188">
        <w:rPr>
          <w:rStyle w:val="ilfuvd"/>
          <w:rFonts w:ascii="Times New Roman" w:hAnsi="Times New Roman" w:cs="Times New Roman"/>
          <w:sz w:val="24"/>
          <w:szCs w:val="24"/>
          <w:lang w:val="en-US"/>
        </w:rPr>
        <w:t xml:space="preserve"> were measured using an automatic system ADIVA 120 (Siemens, </w:t>
      </w:r>
      <w:r w:rsidRPr="00166188">
        <w:rPr>
          <w:rFonts w:ascii="Times New Roman" w:hAnsi="Times New Roman" w:cs="Times New Roman"/>
          <w:sz w:val="24"/>
          <w:szCs w:val="24"/>
          <w:lang w:val="en-US"/>
        </w:rPr>
        <w:t>Healthcare Diagnostics, Deerfield, IL, USA): hemoglobin concentration (g/dL), hematocrit (%), red blood cells (T/L), mean corpuscular volume (fL), mean corpuscular hemoglobin (pg) and mean corpuscular hemoglobin concentration (g/L). Anemia was defined when hemoglobin level &lt;12 g/dL in women and &lt;13 g/dL in men [18].</w:t>
      </w:r>
    </w:p>
    <w:p w:rsidR="005B5C9E" w:rsidRPr="00166188" w:rsidRDefault="005B5C9E" w:rsidP="005B5C9E">
      <w:pPr>
        <w:spacing w:line="480" w:lineRule="auto"/>
        <w:jc w:val="both"/>
        <w:rPr>
          <w:rFonts w:ascii="Times New Roman" w:hAnsi="Times New Roman" w:cs="Times New Roman"/>
          <w:sz w:val="24"/>
          <w:szCs w:val="24"/>
          <w:lang w:val="en-US"/>
        </w:rPr>
      </w:pPr>
      <w:r w:rsidRPr="00166188">
        <w:rPr>
          <w:rFonts w:ascii="Times New Roman" w:hAnsi="Times New Roman" w:cs="Times New Roman"/>
          <w:sz w:val="24"/>
          <w:szCs w:val="24"/>
          <w:lang w:val="en-US"/>
        </w:rPr>
        <w:t>The following standard blood biomarkers reflecting iron status were measured: serum concentrations of ferritin (μg/L), iron (μg/dL) and total iron</w:t>
      </w:r>
      <w:r w:rsidR="00326C6A">
        <w:rPr>
          <w:rFonts w:ascii="Times New Roman" w:hAnsi="Times New Roman" w:cs="Times New Roman"/>
          <w:sz w:val="24"/>
          <w:szCs w:val="24"/>
          <w:lang w:val="en-US"/>
        </w:rPr>
        <w:t>-</w:t>
      </w:r>
      <w:r w:rsidRPr="00166188">
        <w:rPr>
          <w:rFonts w:ascii="Times New Roman" w:hAnsi="Times New Roman" w:cs="Times New Roman"/>
          <w:sz w:val="24"/>
          <w:szCs w:val="24"/>
          <w:lang w:val="en-US"/>
        </w:rPr>
        <w:t>binding capacity (TIBC, μg/dL). Transferrin saturation (Tsat) was calculated as the ratio of serum iron (μg/dL) and TIBC (μg/dL) multiplied by 100 and expressed as a percentage. Serum ferritin was measured using an immunoassay based on electrochemiluminescence with the Elecsys 2010 System (Roche Diagnostics GmbH, Mannheim, Germany). Serum iron and TIBC were assessed using a substrate method with Feren S (Thermo Fisher Scientific, Waltham, MA, USA).</w:t>
      </w:r>
    </w:p>
    <w:p w:rsidR="005B5C9E" w:rsidRPr="00166188" w:rsidRDefault="005B5C9E" w:rsidP="005B5C9E">
      <w:pPr>
        <w:spacing w:line="480" w:lineRule="auto"/>
        <w:jc w:val="both"/>
        <w:rPr>
          <w:rFonts w:ascii="Times New Roman" w:hAnsi="Times New Roman" w:cs="Times New Roman"/>
          <w:sz w:val="24"/>
          <w:szCs w:val="24"/>
          <w:vertAlign w:val="superscript"/>
          <w:lang w:val="en-US"/>
        </w:rPr>
      </w:pPr>
      <w:bookmarkStart w:id="5" w:name="_Hlk2774703"/>
      <w:r w:rsidRPr="00166188">
        <w:rPr>
          <w:rFonts w:ascii="Times New Roman" w:hAnsi="Times New Roman" w:cs="Times New Roman"/>
          <w:sz w:val="24"/>
          <w:szCs w:val="24"/>
          <w:lang w:val="en-US"/>
        </w:rPr>
        <w:t>The pool of iron that is being used to fulfill body metabolic needs consists of circulating iron bo</w:t>
      </w:r>
      <w:r w:rsidR="00326C6A">
        <w:rPr>
          <w:rFonts w:ascii="Times New Roman" w:hAnsi="Times New Roman" w:cs="Times New Roman"/>
          <w:sz w:val="24"/>
          <w:szCs w:val="24"/>
          <w:lang w:val="en-US"/>
        </w:rPr>
        <w:t>u</w:t>
      </w:r>
      <w:r w:rsidRPr="00166188">
        <w:rPr>
          <w:rFonts w:ascii="Times New Roman" w:hAnsi="Times New Roman" w:cs="Times New Roman"/>
          <w:sz w:val="24"/>
          <w:szCs w:val="24"/>
          <w:lang w:val="en-US"/>
        </w:rPr>
        <w:t xml:space="preserve">nd to transferrin (expressed as </w:t>
      </w:r>
      <w:r w:rsidR="00326C6A">
        <w:rPr>
          <w:rFonts w:ascii="Times New Roman" w:hAnsi="Times New Roman" w:cs="Times New Roman"/>
          <w:sz w:val="24"/>
          <w:szCs w:val="24"/>
          <w:lang w:val="en-US"/>
        </w:rPr>
        <w:t>Tsat</w:t>
      </w:r>
      <w:r w:rsidRPr="00166188">
        <w:rPr>
          <w:rFonts w:ascii="Times New Roman" w:hAnsi="Times New Roman" w:cs="Times New Roman"/>
          <w:sz w:val="24"/>
          <w:szCs w:val="24"/>
          <w:lang w:val="en-US"/>
        </w:rPr>
        <w:t xml:space="preserve"> and reflecting the amount of iron available to cells) and intracellular iron [19]. Serum ferritin reflects body iron storages. Apart from being </w:t>
      </w:r>
      <w:r w:rsidR="00326C6A">
        <w:rPr>
          <w:rFonts w:ascii="Times New Roman" w:hAnsi="Times New Roman" w:cs="Times New Roman"/>
          <w:sz w:val="24"/>
          <w:szCs w:val="24"/>
          <w:lang w:val="en-US"/>
        </w:rPr>
        <w:t xml:space="preserve">a </w:t>
      </w:r>
      <w:r w:rsidRPr="00166188">
        <w:rPr>
          <w:rFonts w:ascii="Times New Roman" w:hAnsi="Times New Roman" w:cs="Times New Roman"/>
          <w:sz w:val="24"/>
          <w:szCs w:val="24"/>
          <w:lang w:val="en-US"/>
        </w:rPr>
        <w:t>major iron storage molecule, ferritin serves as an acute-phase protein, wh</w:t>
      </w:r>
      <w:r w:rsidR="00326C6A">
        <w:rPr>
          <w:rFonts w:ascii="Times New Roman" w:hAnsi="Times New Roman" w:cs="Times New Roman"/>
          <w:sz w:val="24"/>
          <w:szCs w:val="24"/>
          <w:lang w:val="en-US"/>
        </w:rPr>
        <w:t>ich</w:t>
      </w:r>
      <w:r w:rsidRPr="00166188">
        <w:rPr>
          <w:rFonts w:ascii="Times New Roman" w:hAnsi="Times New Roman" w:cs="Times New Roman"/>
          <w:sz w:val="24"/>
          <w:szCs w:val="24"/>
          <w:lang w:val="en-US"/>
        </w:rPr>
        <w:t xml:space="preserve"> should always be taken into account when interpreting its levels in the circulation. In the response to inflammatory activation ferritin production is increased, regardless of the amount of stored iron</w:t>
      </w:r>
      <w:bookmarkEnd w:id="5"/>
      <w:r w:rsidRPr="00166188">
        <w:rPr>
          <w:rFonts w:ascii="Times New Roman" w:hAnsi="Times New Roman" w:cs="Times New Roman"/>
          <w:sz w:val="24"/>
          <w:szCs w:val="24"/>
          <w:lang w:val="en-US"/>
        </w:rPr>
        <w:t>, thereby falsely indicating that iron stores are adequate [20].</w:t>
      </w:r>
    </w:p>
    <w:p w:rsidR="005B5C9E" w:rsidRPr="00166188" w:rsidRDefault="005B5C9E" w:rsidP="005B5C9E">
      <w:pPr>
        <w:spacing w:line="480" w:lineRule="auto"/>
        <w:jc w:val="both"/>
        <w:rPr>
          <w:rFonts w:ascii="Times New Roman" w:hAnsi="Times New Roman" w:cs="Times New Roman"/>
          <w:sz w:val="24"/>
          <w:szCs w:val="24"/>
          <w:vertAlign w:val="superscript"/>
          <w:lang w:val="en-US"/>
        </w:rPr>
      </w:pPr>
      <w:r w:rsidRPr="00166188">
        <w:rPr>
          <w:rFonts w:ascii="Times New Roman" w:hAnsi="Times New Roman" w:cs="Times New Roman"/>
          <w:sz w:val="24"/>
          <w:szCs w:val="24"/>
          <w:lang w:val="en-US"/>
        </w:rPr>
        <w:t>Serum soluble transferrin receptor (sTfR, mg/L) was measured using immunonephelometry (Siemens Healthcare Diagnostics Inc., Deerfield, I</w:t>
      </w:r>
      <w:r w:rsidR="00326C6A">
        <w:rPr>
          <w:rFonts w:ascii="Times New Roman" w:hAnsi="Times New Roman" w:cs="Times New Roman"/>
          <w:sz w:val="24"/>
          <w:szCs w:val="24"/>
          <w:lang w:val="en-US"/>
        </w:rPr>
        <w:t>L</w:t>
      </w:r>
      <w:r w:rsidRPr="00166188">
        <w:rPr>
          <w:rFonts w:ascii="Times New Roman" w:hAnsi="Times New Roman" w:cs="Times New Roman"/>
          <w:sz w:val="24"/>
          <w:szCs w:val="24"/>
          <w:lang w:val="en-US"/>
        </w:rPr>
        <w:t>, USA). The cellular uptake of transferrin-bound iron is tightly regulated by s</w:t>
      </w:r>
      <w:r w:rsidR="00326C6A">
        <w:rPr>
          <w:rFonts w:ascii="Times New Roman" w:hAnsi="Times New Roman" w:cs="Times New Roman"/>
          <w:sz w:val="24"/>
          <w:szCs w:val="24"/>
          <w:lang w:val="en-US"/>
        </w:rPr>
        <w:t>TfR</w:t>
      </w:r>
      <w:r w:rsidRPr="00166188">
        <w:rPr>
          <w:rFonts w:ascii="Times New Roman" w:hAnsi="Times New Roman" w:cs="Times New Roman"/>
          <w:sz w:val="24"/>
          <w:szCs w:val="24"/>
          <w:lang w:val="en-US"/>
        </w:rPr>
        <w:t>, thus it is considered to be a crucial biomarker of unmet tissue needs for iron. In case of iron deficiency levels of circulating transferrin receptor are increased and quantitatively correlate with cellular demand for iron, but not with its body stores [21].</w:t>
      </w:r>
    </w:p>
    <w:p w:rsidR="005B5C9E" w:rsidRPr="00166188" w:rsidRDefault="005B5C9E" w:rsidP="005B5C9E">
      <w:pPr>
        <w:spacing w:line="480" w:lineRule="auto"/>
        <w:jc w:val="both"/>
        <w:rPr>
          <w:rFonts w:ascii="Times New Roman" w:hAnsi="Times New Roman" w:cs="Times New Roman"/>
          <w:sz w:val="24"/>
          <w:szCs w:val="24"/>
          <w:lang w:val="en-US"/>
        </w:rPr>
      </w:pPr>
      <w:r w:rsidRPr="00166188">
        <w:rPr>
          <w:rFonts w:ascii="Times New Roman" w:hAnsi="Times New Roman" w:cs="Times New Roman"/>
          <w:sz w:val="24"/>
          <w:szCs w:val="24"/>
          <w:lang w:val="en-US"/>
        </w:rPr>
        <w:lastRenderedPageBreak/>
        <w:t xml:space="preserve">Serum hepcidin (ng/mL) was measured using a commercially available enzyme-linked immunosorbent assay (ELISA) (BACHEM). This ELISA method was validated as a gold standard for hepcidin assessment, namely liquid chromatography mass spectrometry developed at King’s College London, confirming a strong correlation between the measurements performed using the liquid chromatography mass spectrometry and the BACHEM assay in patients with chronic kidney diseases and healthy subjects. Increased levels of hepcidin may occur in the circulation due to excessive iron stores and/or state of inflammation. Analogically, suppressed production of hepcidin indicates depleted iron stores with or without coexisting anemia [11]. </w:t>
      </w:r>
    </w:p>
    <w:p w:rsidR="005B5C9E" w:rsidRPr="00166188" w:rsidRDefault="005B5C9E" w:rsidP="005B5C9E">
      <w:pPr>
        <w:spacing w:line="480" w:lineRule="auto"/>
        <w:jc w:val="both"/>
        <w:rPr>
          <w:rFonts w:ascii="Times New Roman" w:hAnsi="Times New Roman" w:cs="Times New Roman"/>
          <w:sz w:val="24"/>
          <w:szCs w:val="24"/>
          <w:vertAlign w:val="superscript"/>
          <w:lang w:val="en-US"/>
        </w:rPr>
      </w:pPr>
      <w:r w:rsidRPr="00166188">
        <w:rPr>
          <w:rFonts w:ascii="Times New Roman" w:hAnsi="Times New Roman" w:cs="Times New Roman"/>
          <w:sz w:val="24"/>
          <w:szCs w:val="24"/>
          <w:lang w:val="en-US"/>
        </w:rPr>
        <w:t xml:space="preserve">In our study we defined ID based on serum ferritin and </w:t>
      </w:r>
      <w:r w:rsidR="00326C6A">
        <w:rPr>
          <w:rFonts w:ascii="Times New Roman" w:hAnsi="Times New Roman" w:cs="Times New Roman"/>
          <w:sz w:val="24"/>
          <w:szCs w:val="24"/>
          <w:lang w:val="en-US"/>
        </w:rPr>
        <w:t>Tsat</w:t>
      </w:r>
      <w:r w:rsidRPr="00166188">
        <w:rPr>
          <w:rFonts w:ascii="Times New Roman" w:hAnsi="Times New Roman" w:cs="Times New Roman"/>
          <w:sz w:val="24"/>
          <w:szCs w:val="24"/>
          <w:lang w:val="en-US"/>
        </w:rPr>
        <w:t xml:space="preserve"> as follows: </w:t>
      </w:r>
      <w:bookmarkStart w:id="6" w:name="_Hlk17308603"/>
      <w:r w:rsidRPr="00166188">
        <w:rPr>
          <w:rFonts w:ascii="Times New Roman" w:hAnsi="Times New Roman" w:cs="Times New Roman"/>
          <w:sz w:val="24"/>
          <w:szCs w:val="24"/>
          <w:lang w:val="en-US"/>
        </w:rPr>
        <w:t>serum ferritin</w:t>
      </w:r>
      <w:r w:rsidR="00326C6A">
        <w:rPr>
          <w:rFonts w:ascii="Times New Roman" w:hAnsi="Times New Roman" w:cs="Times New Roman"/>
          <w:sz w:val="24"/>
          <w:szCs w:val="24"/>
          <w:lang w:val="en-US"/>
        </w:rPr>
        <w:t xml:space="preserve"> </w:t>
      </w:r>
      <w:r w:rsidRPr="00166188">
        <w:rPr>
          <w:rFonts w:ascii="Times New Roman" w:hAnsi="Times New Roman" w:cs="Times New Roman"/>
          <w:sz w:val="24"/>
          <w:szCs w:val="24"/>
          <w:lang w:val="en-US"/>
        </w:rPr>
        <w:t>&lt;100 mg/L, or serum ferritin 100–299 mg/L with Tsat</w:t>
      </w:r>
      <w:r w:rsidR="00326C6A">
        <w:rPr>
          <w:rFonts w:ascii="Times New Roman" w:hAnsi="Times New Roman" w:cs="Times New Roman"/>
          <w:sz w:val="24"/>
          <w:szCs w:val="24"/>
          <w:lang w:val="en-US"/>
        </w:rPr>
        <w:t xml:space="preserve"> </w:t>
      </w:r>
      <w:r w:rsidRPr="00166188">
        <w:rPr>
          <w:rFonts w:ascii="Times New Roman" w:hAnsi="Times New Roman" w:cs="Times New Roman"/>
          <w:sz w:val="24"/>
          <w:szCs w:val="24"/>
          <w:lang w:val="en-US"/>
        </w:rPr>
        <w:t>&lt;20%</w:t>
      </w:r>
      <w:bookmarkEnd w:id="6"/>
      <w:r w:rsidRPr="00166188">
        <w:rPr>
          <w:rFonts w:ascii="Times New Roman" w:hAnsi="Times New Roman" w:cs="Times New Roman"/>
          <w:sz w:val="24"/>
          <w:szCs w:val="24"/>
          <w:lang w:val="en-US"/>
        </w:rPr>
        <w:t>. These definitions were standardized and applied in previous studies in patients with chronic diseases [9,</w:t>
      </w:r>
      <w:r w:rsidR="00326C6A">
        <w:rPr>
          <w:rFonts w:ascii="Times New Roman" w:hAnsi="Times New Roman" w:cs="Times New Roman"/>
          <w:sz w:val="24"/>
          <w:szCs w:val="24"/>
          <w:lang w:val="en-US"/>
        </w:rPr>
        <w:t xml:space="preserve"> </w:t>
      </w:r>
      <w:r w:rsidRPr="00166188">
        <w:rPr>
          <w:rFonts w:ascii="Times New Roman" w:hAnsi="Times New Roman" w:cs="Times New Roman"/>
          <w:sz w:val="24"/>
          <w:szCs w:val="24"/>
          <w:lang w:val="en-US"/>
        </w:rPr>
        <w:t xml:space="preserve">22]. </w:t>
      </w:r>
      <w:bookmarkStart w:id="7" w:name="_Hlk17308620"/>
      <w:r w:rsidRPr="00166188">
        <w:rPr>
          <w:rFonts w:ascii="Times New Roman" w:hAnsi="Times New Roman" w:cs="Times New Roman"/>
          <w:sz w:val="24"/>
          <w:szCs w:val="24"/>
          <w:lang w:val="en-US"/>
        </w:rPr>
        <w:t>Depleted iron stores were defined by hepcidin level</w:t>
      </w:r>
      <w:r w:rsidR="00326C6A">
        <w:rPr>
          <w:rFonts w:ascii="Times New Roman" w:hAnsi="Times New Roman" w:cs="Times New Roman"/>
          <w:sz w:val="24"/>
          <w:szCs w:val="24"/>
          <w:lang w:val="en-US"/>
        </w:rPr>
        <w:t>s</w:t>
      </w:r>
      <w:r w:rsidRPr="00166188">
        <w:rPr>
          <w:rFonts w:ascii="Times New Roman" w:hAnsi="Times New Roman" w:cs="Times New Roman"/>
          <w:sz w:val="24"/>
          <w:szCs w:val="24"/>
          <w:lang w:val="en-US"/>
        </w:rPr>
        <w:t xml:space="preserve"> lower than 14.5 ng/m</w:t>
      </w:r>
      <w:r w:rsidR="00326C6A" w:rsidRPr="00166188">
        <w:rPr>
          <w:rFonts w:ascii="Times New Roman" w:hAnsi="Times New Roman" w:cs="Times New Roman"/>
          <w:sz w:val="24"/>
          <w:szCs w:val="24"/>
          <w:lang w:val="en-US"/>
        </w:rPr>
        <w:t>L</w:t>
      </w:r>
      <w:r w:rsidRPr="00166188">
        <w:rPr>
          <w:rFonts w:ascii="Times New Roman" w:hAnsi="Times New Roman" w:cs="Times New Roman"/>
          <w:sz w:val="24"/>
          <w:szCs w:val="24"/>
          <w:lang w:val="en-US"/>
        </w:rPr>
        <w:t>, i.e. the 5</w:t>
      </w:r>
      <w:r w:rsidRPr="00326C6A">
        <w:rPr>
          <w:rFonts w:ascii="Times New Roman" w:hAnsi="Times New Roman" w:cs="Times New Roman"/>
          <w:sz w:val="24"/>
          <w:szCs w:val="24"/>
          <w:lang w:val="en-US"/>
        </w:rPr>
        <w:t>th</w:t>
      </w:r>
      <w:r w:rsidRPr="00166188">
        <w:rPr>
          <w:rFonts w:ascii="Times New Roman" w:hAnsi="Times New Roman" w:cs="Times New Roman"/>
          <w:sz w:val="24"/>
          <w:szCs w:val="24"/>
          <w:lang w:val="en-US"/>
        </w:rPr>
        <w:t xml:space="preserve"> percentile among healthy controls in our laboratory [23].</w:t>
      </w:r>
      <w:bookmarkEnd w:id="7"/>
    </w:p>
    <w:p w:rsidR="005B5C9E" w:rsidRPr="00166188" w:rsidRDefault="00326C6A" w:rsidP="005B5C9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w:t>
      </w:r>
      <w:r w:rsidR="005B5C9E" w:rsidRPr="00166188">
        <w:rPr>
          <w:rFonts w:ascii="Times New Roman" w:hAnsi="Times New Roman" w:cs="Times New Roman"/>
          <w:sz w:val="24"/>
          <w:szCs w:val="24"/>
          <w:lang w:val="en-US"/>
        </w:rPr>
        <w:t>erum level of interleukin</w:t>
      </w:r>
      <w:r>
        <w:rPr>
          <w:rFonts w:ascii="Times New Roman" w:hAnsi="Times New Roman" w:cs="Times New Roman"/>
          <w:sz w:val="24"/>
          <w:szCs w:val="24"/>
          <w:lang w:val="en-US"/>
        </w:rPr>
        <w:t>-</w:t>
      </w:r>
      <w:r w:rsidR="005B5C9E" w:rsidRPr="00166188">
        <w:rPr>
          <w:rFonts w:ascii="Times New Roman" w:hAnsi="Times New Roman" w:cs="Times New Roman"/>
          <w:sz w:val="24"/>
          <w:szCs w:val="24"/>
          <w:lang w:val="en-US"/>
        </w:rPr>
        <w:t>6 (IL-6, pg/mL) as a marker of proinflammatory activation was measured using a commercially available ELISA (R&amp;D Systems, Minneapolis, M</w:t>
      </w:r>
      <w:r>
        <w:rPr>
          <w:rFonts w:ascii="Times New Roman" w:hAnsi="Times New Roman" w:cs="Times New Roman"/>
          <w:sz w:val="24"/>
          <w:szCs w:val="24"/>
          <w:lang w:val="en-US"/>
        </w:rPr>
        <w:t>A</w:t>
      </w:r>
      <w:r w:rsidR="005B5C9E" w:rsidRPr="00166188">
        <w:rPr>
          <w:rFonts w:ascii="Times New Roman" w:hAnsi="Times New Roman" w:cs="Times New Roman"/>
          <w:sz w:val="24"/>
          <w:szCs w:val="24"/>
          <w:lang w:val="en-US"/>
        </w:rPr>
        <w:t xml:space="preserve">, USA) [24]. The upper limits of normal in our laboratory for IL-6 were 1.48 pg/mL. We have prospectively defined HS patients with </w:t>
      </w:r>
      <w:bookmarkStart w:id="8" w:name="_Hlk17308724"/>
      <w:r w:rsidR="005B5C9E" w:rsidRPr="00166188">
        <w:rPr>
          <w:rFonts w:ascii="Times New Roman" w:hAnsi="Times New Roman" w:cs="Times New Roman"/>
          <w:sz w:val="24"/>
          <w:szCs w:val="24"/>
          <w:lang w:val="en-US"/>
        </w:rPr>
        <w:t>IL-6 above 1.48 pg/mL</w:t>
      </w:r>
      <w:bookmarkEnd w:id="8"/>
      <w:r w:rsidR="005B5C9E" w:rsidRPr="00166188">
        <w:rPr>
          <w:rFonts w:ascii="Times New Roman" w:hAnsi="Times New Roman" w:cs="Times New Roman"/>
          <w:sz w:val="24"/>
          <w:szCs w:val="24"/>
          <w:lang w:val="en-US"/>
        </w:rPr>
        <w:t xml:space="preserve"> as having proinflammatory activation. </w:t>
      </w:r>
    </w:p>
    <w:p w:rsidR="005B5C9E" w:rsidRPr="00326C6A" w:rsidRDefault="005B5C9E" w:rsidP="005B5C9E">
      <w:pPr>
        <w:pStyle w:val="StandardWeb"/>
        <w:shd w:val="clear" w:color="auto" w:fill="FFFFFF"/>
        <w:spacing w:before="0" w:beforeAutospacing="0" w:after="0" w:afterAutospacing="0" w:line="480" w:lineRule="auto"/>
        <w:jc w:val="both"/>
        <w:rPr>
          <w:lang w:val="en-US"/>
        </w:rPr>
      </w:pPr>
      <w:r w:rsidRPr="00326C6A">
        <w:rPr>
          <w:i/>
          <w:lang w:val="en-US"/>
        </w:rPr>
        <w:t xml:space="preserve">Statistical </w:t>
      </w:r>
      <w:r w:rsidR="00326C6A" w:rsidRPr="00326C6A">
        <w:rPr>
          <w:i/>
          <w:lang w:val="en-US"/>
        </w:rPr>
        <w:t>Analysis</w:t>
      </w:r>
    </w:p>
    <w:p w:rsidR="005B5C9E" w:rsidRPr="00166188" w:rsidRDefault="005B5C9E" w:rsidP="005B5C9E">
      <w:pPr>
        <w:spacing w:line="480" w:lineRule="auto"/>
        <w:jc w:val="both"/>
        <w:rPr>
          <w:rFonts w:ascii="Times New Roman" w:hAnsi="Times New Roman" w:cs="Times New Roman"/>
          <w:sz w:val="24"/>
          <w:szCs w:val="24"/>
          <w:lang w:val="en-US"/>
        </w:rPr>
      </w:pPr>
      <w:r w:rsidRPr="00166188">
        <w:rPr>
          <w:rFonts w:ascii="Times New Roman" w:hAnsi="Times New Roman" w:cs="Times New Roman"/>
          <w:sz w:val="24"/>
          <w:szCs w:val="24"/>
          <w:lang w:val="en-US"/>
        </w:rPr>
        <w:t>The normality of the distributions of continuous variables was tested using the Kolmogorov</w:t>
      </w:r>
      <w:r w:rsidR="00326C6A">
        <w:rPr>
          <w:rFonts w:ascii="Times New Roman" w:hAnsi="Times New Roman" w:cs="Times New Roman"/>
          <w:sz w:val="24"/>
          <w:szCs w:val="24"/>
          <w:lang w:val="en-US"/>
        </w:rPr>
        <w:t>-</w:t>
      </w:r>
      <w:r w:rsidRPr="00166188">
        <w:rPr>
          <w:rFonts w:ascii="Times New Roman" w:hAnsi="Times New Roman" w:cs="Times New Roman"/>
          <w:sz w:val="24"/>
          <w:szCs w:val="24"/>
          <w:lang w:val="en-US"/>
        </w:rPr>
        <w:t xml:space="preserve">Smirnov test. Continuous variables with a normal distribution were expressed as means with standard deviations. The remaining continuous variables with a skewed distribution were expressed as medians with upper and lower quartiles. For further analyses, these variables were log-transformed in order to normalize their distribution. The categorical variables were </w:t>
      </w:r>
      <w:r w:rsidRPr="00166188">
        <w:rPr>
          <w:rFonts w:ascii="Times New Roman" w:hAnsi="Times New Roman" w:cs="Times New Roman"/>
          <w:sz w:val="24"/>
          <w:szCs w:val="24"/>
          <w:lang w:val="en-US"/>
        </w:rPr>
        <w:lastRenderedPageBreak/>
        <w:t xml:space="preserve">expressed as numbers with percentages. The statistical significance of differences between the groups was tested using Student’s </w:t>
      </w:r>
      <w:r w:rsidRPr="00326C6A">
        <w:rPr>
          <w:rFonts w:ascii="Times New Roman" w:hAnsi="Times New Roman" w:cs="Times New Roman"/>
          <w:i/>
          <w:sz w:val="24"/>
          <w:szCs w:val="24"/>
          <w:lang w:val="en-US"/>
        </w:rPr>
        <w:t>t</w:t>
      </w:r>
      <w:r w:rsidR="00326C6A">
        <w:rPr>
          <w:rFonts w:ascii="Times New Roman" w:hAnsi="Times New Roman" w:cs="Times New Roman"/>
          <w:sz w:val="24"/>
          <w:szCs w:val="24"/>
          <w:lang w:val="en-US"/>
        </w:rPr>
        <w:t xml:space="preserve"> </w:t>
      </w:r>
      <w:r w:rsidRPr="00166188">
        <w:rPr>
          <w:rFonts w:ascii="Times New Roman" w:hAnsi="Times New Roman" w:cs="Times New Roman"/>
          <w:sz w:val="24"/>
          <w:szCs w:val="24"/>
          <w:lang w:val="en-US"/>
        </w:rPr>
        <w:t xml:space="preserve">test, </w:t>
      </w:r>
      <w:r w:rsidR="00326C6A">
        <w:rPr>
          <w:rFonts w:ascii="Times New Roman" w:hAnsi="Times New Roman" w:cs="Times New Roman"/>
          <w:sz w:val="24"/>
          <w:szCs w:val="24"/>
          <w:lang w:val="en-US"/>
        </w:rPr>
        <w:t xml:space="preserve">the </w:t>
      </w:r>
      <w:r w:rsidRPr="00166188">
        <w:rPr>
          <w:rFonts w:ascii="Times New Roman" w:hAnsi="Times New Roman" w:cs="Times New Roman"/>
          <w:sz w:val="24"/>
          <w:szCs w:val="24"/>
          <w:lang w:val="en-US"/>
        </w:rPr>
        <w:t>Mann</w:t>
      </w:r>
      <w:r w:rsidR="00326C6A">
        <w:rPr>
          <w:rFonts w:ascii="Times New Roman" w:hAnsi="Times New Roman" w:cs="Times New Roman"/>
          <w:sz w:val="24"/>
          <w:szCs w:val="24"/>
          <w:lang w:val="en-US"/>
        </w:rPr>
        <w:t>-</w:t>
      </w:r>
      <w:r w:rsidRPr="00166188">
        <w:rPr>
          <w:rFonts w:ascii="Times New Roman" w:hAnsi="Times New Roman" w:cs="Times New Roman"/>
          <w:sz w:val="24"/>
          <w:szCs w:val="24"/>
          <w:lang w:val="en-US"/>
        </w:rPr>
        <w:t>Whitney U test or the χ</w:t>
      </w:r>
      <w:r w:rsidRPr="00326C6A">
        <w:rPr>
          <w:rFonts w:ascii="Times New Roman" w:hAnsi="Times New Roman" w:cs="Times New Roman"/>
          <w:sz w:val="24"/>
          <w:szCs w:val="24"/>
          <w:vertAlign w:val="superscript"/>
          <w:lang w:val="en-US"/>
        </w:rPr>
        <w:t>2</w:t>
      </w:r>
      <w:r w:rsidRPr="00166188">
        <w:rPr>
          <w:rFonts w:ascii="Times New Roman" w:hAnsi="Times New Roman" w:cs="Times New Roman"/>
          <w:sz w:val="24"/>
          <w:szCs w:val="24"/>
          <w:lang w:val="en-US"/>
        </w:rPr>
        <w:t xml:space="preserve"> test, where appropriate. The associations between variables were assessed using the Spearman rank correlat</w:t>
      </w:r>
      <w:r w:rsidR="00326C6A">
        <w:rPr>
          <w:rFonts w:ascii="Times New Roman" w:hAnsi="Times New Roman" w:cs="Times New Roman"/>
          <w:sz w:val="24"/>
          <w:szCs w:val="24"/>
          <w:lang w:val="en-US"/>
        </w:rPr>
        <w:t>ion</w:t>
      </w:r>
      <w:r w:rsidRPr="00166188">
        <w:rPr>
          <w:rFonts w:ascii="Times New Roman" w:hAnsi="Times New Roman" w:cs="Times New Roman"/>
          <w:sz w:val="24"/>
          <w:szCs w:val="24"/>
          <w:lang w:val="en-US"/>
        </w:rPr>
        <w:t xml:space="preserve"> coefficients. All statistical analyses were performed with Statistica 10 (Statsoft, Tulsa, OK, USA). A value of </w:t>
      </w:r>
      <w:r w:rsidR="00326C6A" w:rsidRPr="00326C6A">
        <w:rPr>
          <w:rFonts w:ascii="Times New Roman" w:hAnsi="Times New Roman" w:cs="Times New Roman"/>
          <w:i/>
          <w:sz w:val="24"/>
          <w:szCs w:val="24"/>
          <w:lang w:val="en-US"/>
        </w:rPr>
        <w:t>p</w:t>
      </w:r>
      <w:r w:rsidRPr="00166188">
        <w:rPr>
          <w:rFonts w:ascii="Times New Roman" w:hAnsi="Times New Roman" w:cs="Times New Roman"/>
          <w:sz w:val="24"/>
          <w:szCs w:val="24"/>
          <w:lang w:val="en-US"/>
        </w:rPr>
        <w:t xml:space="preserve"> &lt;</w:t>
      </w:r>
      <w:r w:rsidR="00326C6A">
        <w:rPr>
          <w:rFonts w:ascii="Times New Roman" w:hAnsi="Times New Roman" w:cs="Times New Roman"/>
          <w:sz w:val="24"/>
          <w:szCs w:val="24"/>
          <w:lang w:val="en-US"/>
        </w:rPr>
        <w:t xml:space="preserve"> </w:t>
      </w:r>
      <w:r w:rsidRPr="00166188">
        <w:rPr>
          <w:rFonts w:ascii="Times New Roman" w:hAnsi="Times New Roman" w:cs="Times New Roman"/>
          <w:sz w:val="24"/>
          <w:szCs w:val="24"/>
          <w:lang w:val="en-US"/>
        </w:rPr>
        <w:t>0.05 was considered statistically sign</w:t>
      </w:r>
      <w:r w:rsidR="00E020E2">
        <w:rPr>
          <w:rFonts w:ascii="Times New Roman" w:hAnsi="Times New Roman" w:cs="Times New Roman"/>
          <w:sz w:val="24"/>
          <w:szCs w:val="24"/>
          <w:lang w:val="en-US"/>
        </w:rPr>
        <w:t>s</w:t>
      </w:r>
      <w:bookmarkStart w:id="9" w:name="_GoBack"/>
      <w:bookmarkEnd w:id="9"/>
      <w:r w:rsidRPr="00166188">
        <w:rPr>
          <w:rFonts w:ascii="Times New Roman" w:hAnsi="Times New Roman" w:cs="Times New Roman"/>
          <w:sz w:val="24"/>
          <w:szCs w:val="24"/>
          <w:lang w:val="en-US"/>
        </w:rPr>
        <w:t>ificant.</w:t>
      </w:r>
    </w:p>
    <w:p w:rsidR="00915D54" w:rsidRPr="00166188" w:rsidRDefault="00915D54">
      <w:pPr>
        <w:rPr>
          <w:lang w:val="en-US"/>
        </w:rPr>
      </w:pPr>
    </w:p>
    <w:sectPr w:rsidR="00915D54" w:rsidRPr="001661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Arial Unicode MS"/>
    <w:panose1 w:val="00000000000000000000"/>
    <w:charset w:val="81"/>
    <w:family w:val="auto"/>
    <w:notTrueType/>
    <w:pitch w:val="default"/>
    <w:sig w:usb0="00000003" w:usb1="09070000" w:usb2="00000010" w:usb3="00000000" w:csb0="000A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9E"/>
    <w:rsid w:val="00083388"/>
    <w:rsid w:val="000C75B4"/>
    <w:rsid w:val="00166188"/>
    <w:rsid w:val="0022274A"/>
    <w:rsid w:val="00326C6A"/>
    <w:rsid w:val="005B5C9E"/>
    <w:rsid w:val="00915D54"/>
    <w:rsid w:val="00B35E52"/>
    <w:rsid w:val="00E020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4632"/>
  <w15:chartTrackingRefBased/>
  <w15:docId w15:val="{0370A9E4-D6DB-49E9-BCD1-DBF66A6E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5C9E"/>
    <w:rPr>
      <w:lang w:val="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B5C9E"/>
    <w:pPr>
      <w:spacing w:before="100" w:beforeAutospacing="1" w:after="100" w:afterAutospacing="1" w:line="240" w:lineRule="auto"/>
    </w:pPr>
    <w:rPr>
      <w:rFonts w:ascii="Times New Roman" w:eastAsia="Times New Roman" w:hAnsi="Times New Roman" w:cs="Times New Roman"/>
      <w:sz w:val="24"/>
      <w:szCs w:val="24"/>
      <w:lang w:val="en-GB" w:eastAsia="pl-PL"/>
    </w:rPr>
  </w:style>
  <w:style w:type="character" w:customStyle="1" w:styleId="ilfuvd">
    <w:name w:val="ilfuvd"/>
    <w:basedOn w:val="Absatz-Standardschriftart"/>
    <w:rsid w:val="005B5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5524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Elisabeth Stöcklin</cp:lastModifiedBy>
  <cp:revision>7</cp:revision>
  <dcterms:created xsi:type="dcterms:W3CDTF">2019-12-06T12:48:00Z</dcterms:created>
  <dcterms:modified xsi:type="dcterms:W3CDTF">2019-12-19T11:29:00Z</dcterms:modified>
</cp:coreProperties>
</file>