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53" w:rsidRPr="002D507A" w:rsidRDefault="00425953" w:rsidP="00425953">
      <w:pPr>
        <w:outlineLvl w:val="0"/>
      </w:pPr>
      <w:r w:rsidRPr="002D507A">
        <w:rPr>
          <w:b/>
        </w:rPr>
        <w:t>Materials and Methods</w:t>
      </w:r>
    </w:p>
    <w:p w:rsidR="00425953" w:rsidRDefault="00425953" w:rsidP="00425953">
      <w:pPr>
        <w:textAlignment w:val="baseline"/>
      </w:pPr>
    </w:p>
    <w:p w:rsidR="00425953" w:rsidRDefault="00425953" w:rsidP="00425953">
      <w:pPr>
        <w:textAlignment w:val="baseline"/>
      </w:pPr>
      <w:r>
        <w:t>We conducted a</w:t>
      </w:r>
      <w:r w:rsidRPr="006C1971">
        <w:t xml:space="preserve"> retrospective chart review of a cohort of HS patients seen in a faculty general dermatology practice with academic affiliation to Baylor University Medical Center in Dallas, T</w:t>
      </w:r>
      <w:r w:rsidR="00E87FA1">
        <w:t>X</w:t>
      </w:r>
      <w:r w:rsidRPr="006C1971">
        <w:t xml:space="preserve">, between February 2015 and February 2018. </w:t>
      </w:r>
      <w:r>
        <w:t xml:space="preserve">Patients with a physician-verified diagnosis of hidradenitis suppurativa (ICD-9 code 705.83 or ICD-10 code L73.2) were included in the study. </w:t>
      </w:r>
      <w:r w:rsidR="00E87FA1">
        <w:t>The s</w:t>
      </w:r>
      <w:r>
        <w:t xml:space="preserve">tudy protocol was approved by the Institutional Review Board of the Baylor Research Institute. </w:t>
      </w:r>
    </w:p>
    <w:p w:rsidR="00425953" w:rsidRDefault="00425953" w:rsidP="00425953">
      <w:pPr>
        <w:textAlignment w:val="baseline"/>
      </w:pPr>
    </w:p>
    <w:p w:rsidR="00425953" w:rsidRDefault="00425953" w:rsidP="00425953">
      <w:pPr>
        <w:textAlignment w:val="baseline"/>
        <w:rPr>
          <w:rFonts w:cstheme="minorHAnsi"/>
          <w:lang w:eastAsia="zh-CN"/>
        </w:rPr>
      </w:pPr>
      <w:r>
        <w:rPr>
          <w:rFonts w:eastAsia="Times New Roman" w:cstheme="minorHAnsi"/>
          <w:lang w:eastAsia="zh-CN"/>
        </w:rPr>
        <w:t>P</w:t>
      </w:r>
      <w:r w:rsidRPr="006C1971">
        <w:t>atient demographics, clinical features, HS disease stage</w:t>
      </w:r>
      <w:r>
        <w:t xml:space="preserve"> (Hurley I, II, or III)</w:t>
      </w:r>
      <w:r w:rsidRPr="006C1971">
        <w:t xml:space="preserve"> and </w:t>
      </w:r>
      <w:r>
        <w:t>location of disease</w:t>
      </w:r>
      <w:r w:rsidRPr="006C1971">
        <w:t>, previous and current treatments, and response to treatment</w:t>
      </w:r>
      <w:r>
        <w:t>s</w:t>
      </w:r>
      <w:r>
        <w:rPr>
          <w:rFonts w:cstheme="minorHAnsi"/>
          <w:lang w:eastAsia="zh-CN"/>
        </w:rPr>
        <w:t xml:space="preserve"> were analyzed using descriptive statistics across key stratifications, </w:t>
      </w:r>
      <w:r w:rsidRPr="009E19D9">
        <w:rPr>
          <w:rFonts w:cstheme="minorHAnsi"/>
          <w:lang w:eastAsia="zh-CN"/>
        </w:rPr>
        <w:t>with continuous data presented as mean</w:t>
      </w:r>
      <w:r w:rsidR="00E87FA1">
        <w:rPr>
          <w:rFonts w:cstheme="minorHAnsi"/>
          <w:lang w:eastAsia="zh-CN"/>
        </w:rPr>
        <w:t>s</w:t>
      </w:r>
      <w:r w:rsidRPr="009E19D9">
        <w:rPr>
          <w:rFonts w:cstheme="minorHAnsi"/>
          <w:lang w:eastAsia="zh-CN"/>
        </w:rPr>
        <w:t xml:space="preserve"> </w:t>
      </w:r>
      <w:r w:rsidR="00E87FA1">
        <w:rPr>
          <w:rFonts w:ascii="Calibri" w:hAnsi="Calibri" w:cs="Calibri"/>
          <w:lang w:eastAsia="zh-CN"/>
        </w:rPr>
        <w:t>±</w:t>
      </w:r>
      <w:r w:rsidRPr="009E19D9">
        <w:rPr>
          <w:rFonts w:cstheme="minorHAnsi"/>
          <w:lang w:eastAsia="zh-CN"/>
        </w:rPr>
        <w:t xml:space="preserve"> standard deviation</w:t>
      </w:r>
      <w:r w:rsidRPr="002E1AF2">
        <w:rPr>
          <w:rFonts w:cstheme="minorHAnsi"/>
          <w:lang w:eastAsia="zh-CN"/>
        </w:rPr>
        <w:t xml:space="preserve"> </w:t>
      </w:r>
      <w:r w:rsidRPr="009E19D9">
        <w:rPr>
          <w:rFonts w:cstheme="minorHAnsi"/>
          <w:lang w:eastAsia="zh-CN"/>
        </w:rPr>
        <w:t xml:space="preserve">or mean and interquartile range, and categorical data presented as number (%). </w:t>
      </w:r>
      <w:r w:rsidRPr="009E19D9">
        <w:rPr>
          <w:rFonts w:eastAsia="Times New Roman" w:cstheme="minorHAnsi"/>
          <w:lang w:eastAsia="zh-CN"/>
        </w:rPr>
        <w:t xml:space="preserve">Continuous BMI and smoking prevalence rates were computed and compared to CDC </w:t>
      </w:r>
      <w:r w:rsidRPr="009F2C3E">
        <w:rPr>
          <w:rFonts w:eastAsiaTheme="minorEastAsia" w:cstheme="minorHAnsi"/>
          <w:lang w:eastAsia="zh-CN"/>
        </w:rPr>
        <w:t>2016</w:t>
      </w:r>
      <w:r w:rsidRPr="00E749D6">
        <w:rPr>
          <w:rFonts w:eastAsia="Times New Roman" w:cstheme="minorHAnsi"/>
          <w:lang w:eastAsia="zh-CN"/>
        </w:rPr>
        <w:t xml:space="preserve"> </w:t>
      </w:r>
      <w:r w:rsidRPr="009F2C3E">
        <w:rPr>
          <w:rFonts w:eastAsiaTheme="minorEastAsia" w:cstheme="minorHAnsi"/>
          <w:lang w:eastAsia="zh-CN"/>
        </w:rPr>
        <w:t>T</w:t>
      </w:r>
      <w:r w:rsidRPr="00E749D6">
        <w:rPr>
          <w:rFonts w:eastAsia="Times New Roman" w:cstheme="minorHAnsi"/>
          <w:lang w:eastAsia="zh-CN"/>
        </w:rPr>
        <w:t>exas</w:t>
      </w:r>
      <w:r>
        <w:rPr>
          <w:rFonts w:eastAsia="Times New Roman" w:cstheme="minorHAnsi"/>
          <w:lang w:eastAsia="zh-CN"/>
        </w:rPr>
        <w:t xml:space="preserve"> </w:t>
      </w:r>
      <w:r w:rsidRPr="009E19D9">
        <w:rPr>
          <w:rFonts w:eastAsia="Times New Roman" w:cstheme="minorHAnsi"/>
          <w:lang w:eastAsia="zh-CN"/>
        </w:rPr>
        <w:t>population rates using</w:t>
      </w:r>
      <w:r w:rsidRPr="00F5418F">
        <w:rPr>
          <w:rFonts w:eastAsia="Times New Roman" w:cstheme="minorHAnsi"/>
          <w:lang w:eastAsia="zh-CN"/>
        </w:rPr>
        <w:t xml:space="preserve"> prevalence ratios along with their 95% confidence intervals and </w:t>
      </w:r>
      <w:r w:rsidRPr="00E87FA1">
        <w:rPr>
          <w:rFonts w:eastAsia="Times New Roman" w:cstheme="minorHAnsi"/>
          <w:i/>
          <w:lang w:eastAsia="zh-CN"/>
        </w:rPr>
        <w:t>p</w:t>
      </w:r>
      <w:r w:rsidR="00E87FA1">
        <w:rPr>
          <w:rFonts w:eastAsia="Times New Roman" w:cstheme="minorHAnsi"/>
          <w:lang w:eastAsia="zh-CN"/>
        </w:rPr>
        <w:t xml:space="preserve"> </w:t>
      </w:r>
      <w:r w:rsidRPr="00F5418F">
        <w:rPr>
          <w:rFonts w:eastAsia="Times New Roman" w:cstheme="minorHAnsi"/>
          <w:lang w:eastAsia="zh-CN"/>
        </w:rPr>
        <w:t>value</w:t>
      </w:r>
      <w:bookmarkStart w:id="0" w:name="_GoBack"/>
      <w:bookmarkEnd w:id="0"/>
      <w:r w:rsidRPr="00F5418F">
        <w:rPr>
          <w:rFonts w:eastAsia="Times New Roman" w:cstheme="minorHAnsi"/>
          <w:lang w:eastAsia="zh-CN"/>
        </w:rPr>
        <w:t>s.</w:t>
      </w:r>
    </w:p>
    <w:p w:rsidR="00425953" w:rsidRDefault="00425953" w:rsidP="00425953">
      <w:pPr>
        <w:textAlignment w:val="baseline"/>
        <w:rPr>
          <w:rFonts w:cstheme="minorHAnsi"/>
          <w:lang w:eastAsia="zh-CN"/>
        </w:rPr>
      </w:pPr>
    </w:p>
    <w:p w:rsidR="00425953" w:rsidRPr="009F2C3E" w:rsidRDefault="00425953" w:rsidP="00425953">
      <w:r>
        <w:rPr>
          <w:rFonts w:cstheme="minorHAnsi"/>
          <w:lang w:eastAsia="zh-CN"/>
        </w:rPr>
        <w:t xml:space="preserve">The primary outcome was treatment response, which was </w:t>
      </w:r>
      <w:r>
        <w:rPr>
          <w:rFonts w:eastAsia="Times New Roman" w:cstheme="minorHAnsi"/>
          <w:lang w:eastAsia="zh-CN"/>
        </w:rPr>
        <w:t>categorized as a binary variable of clinically significant v</w:t>
      </w:r>
      <w:r w:rsidR="00E87FA1">
        <w:rPr>
          <w:rFonts w:eastAsia="Times New Roman" w:cstheme="minorHAnsi"/>
          <w:lang w:eastAsia="zh-CN"/>
        </w:rPr>
        <w:t>ersu</w:t>
      </w:r>
      <w:r>
        <w:rPr>
          <w:rFonts w:eastAsia="Times New Roman" w:cstheme="minorHAnsi"/>
          <w:lang w:eastAsia="zh-CN"/>
        </w:rPr>
        <w:t xml:space="preserve">s not. If a moderate or significant response was noted per patient report and provider assessment (i.e. “clear,” “improving”), </w:t>
      </w:r>
      <w:r w:rsidR="00E87FA1">
        <w:rPr>
          <w:rFonts w:eastAsia="Times New Roman" w:cstheme="minorHAnsi"/>
          <w:lang w:eastAsia="zh-CN"/>
        </w:rPr>
        <w:t xml:space="preserve">the </w:t>
      </w:r>
      <w:r>
        <w:rPr>
          <w:rFonts w:eastAsia="Times New Roman" w:cstheme="minorHAnsi"/>
          <w:lang w:eastAsia="zh-CN"/>
        </w:rPr>
        <w:t xml:space="preserve">patient was deemed to be a treatment responder. For univariate analysis, we used the </w:t>
      </w:r>
      <w:r w:rsidRPr="00F5418F">
        <w:rPr>
          <w:rFonts w:eastAsia="Times New Roman" w:cstheme="minorHAnsi"/>
          <w:lang w:eastAsia="zh-CN"/>
        </w:rPr>
        <w:t>Pearson χ</w:t>
      </w:r>
      <w:r w:rsidRPr="00E87FA1">
        <w:rPr>
          <w:rFonts w:eastAsia="Times New Roman" w:cstheme="minorHAnsi"/>
          <w:vertAlign w:val="superscript"/>
          <w:lang w:eastAsia="zh-CN"/>
        </w:rPr>
        <w:t>2</w:t>
      </w:r>
      <w:r w:rsidRPr="00F5418F">
        <w:rPr>
          <w:rFonts w:eastAsia="Times New Roman" w:cstheme="minorHAnsi"/>
          <w:lang w:eastAsia="zh-CN"/>
        </w:rPr>
        <w:t xml:space="preserve"> </w:t>
      </w:r>
      <w:r>
        <w:rPr>
          <w:rFonts w:eastAsia="Times New Roman" w:cstheme="minorHAnsi"/>
          <w:lang w:eastAsia="zh-CN"/>
        </w:rPr>
        <w:t>and</w:t>
      </w:r>
      <w:r w:rsidRPr="00F5418F">
        <w:rPr>
          <w:rFonts w:eastAsia="Times New Roman" w:cstheme="minorHAnsi"/>
          <w:lang w:eastAsia="zh-CN"/>
        </w:rPr>
        <w:t xml:space="preserve"> Fisher exact test</w:t>
      </w:r>
      <w:r>
        <w:rPr>
          <w:rFonts w:eastAsia="Times New Roman" w:cstheme="minorHAnsi"/>
          <w:lang w:eastAsia="zh-CN"/>
        </w:rPr>
        <w:t>s</w:t>
      </w:r>
      <w:r w:rsidRPr="00F5418F">
        <w:rPr>
          <w:rFonts w:eastAsia="Times New Roman" w:cstheme="minorHAnsi"/>
          <w:lang w:eastAsia="zh-CN"/>
        </w:rPr>
        <w:t xml:space="preserve"> </w:t>
      </w:r>
      <w:r>
        <w:rPr>
          <w:rFonts w:eastAsia="Times New Roman" w:cstheme="minorHAnsi"/>
          <w:lang w:eastAsia="zh-CN"/>
        </w:rPr>
        <w:t xml:space="preserve">for categorical and </w:t>
      </w:r>
      <w:r w:rsidR="00E87FA1">
        <w:rPr>
          <w:rFonts w:eastAsia="Times New Roman" w:cstheme="minorHAnsi"/>
          <w:lang w:eastAsia="zh-CN"/>
        </w:rPr>
        <w:t xml:space="preserve">the </w:t>
      </w:r>
      <w:r>
        <w:rPr>
          <w:rFonts w:eastAsia="Times New Roman" w:cstheme="minorHAnsi"/>
          <w:lang w:eastAsia="zh-CN"/>
        </w:rPr>
        <w:t xml:space="preserve">Mann-Whitney U test for continuous variables, respectively. </w:t>
      </w:r>
    </w:p>
    <w:p w:rsidR="00425953" w:rsidRDefault="00425953" w:rsidP="00425953">
      <w:pPr>
        <w:textAlignment w:val="baseline"/>
        <w:rPr>
          <w:rFonts w:eastAsia="Times New Roman" w:cstheme="minorHAnsi"/>
          <w:lang w:eastAsia="zh-CN"/>
        </w:rPr>
      </w:pPr>
    </w:p>
    <w:p w:rsidR="00425953" w:rsidRDefault="00425953" w:rsidP="00425953">
      <w:pPr>
        <w:textAlignment w:val="baseline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Hurley disease stage (I, II, III) was regrouped into two categories: stage I/II (mild or moderate) and stage III (severe). Candidate predictors for treatment response were evaluated with </w:t>
      </w:r>
      <w:r w:rsidR="00E87FA1">
        <w:rPr>
          <w:rFonts w:eastAsia="Times New Roman" w:cstheme="minorHAnsi"/>
          <w:lang w:eastAsia="zh-CN"/>
        </w:rPr>
        <w:t xml:space="preserve">a </w:t>
      </w:r>
      <w:r>
        <w:rPr>
          <w:rFonts w:eastAsia="Times New Roman" w:cstheme="minorHAnsi"/>
          <w:lang w:eastAsia="zh-CN"/>
        </w:rPr>
        <w:t>univariate logistic regression model. Univariate logistic regression for the primary outcome included the remaining variables as covariates. Analyses were</w:t>
      </w:r>
      <w:r w:rsidRPr="00F5418F">
        <w:rPr>
          <w:rFonts w:eastAsia="Times New Roman" w:cstheme="minorHAnsi"/>
          <w:lang w:eastAsia="zh-CN"/>
        </w:rPr>
        <w:t xml:space="preserve"> carried out using R software 3.5.1. </w:t>
      </w:r>
    </w:p>
    <w:p w:rsidR="001A3218" w:rsidRDefault="001A3218"/>
    <w:sectPr w:rsidR="001A3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53"/>
    <w:rsid w:val="001A3218"/>
    <w:rsid w:val="00425953"/>
    <w:rsid w:val="00E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51616"/>
  <w15:chartTrackingRefBased/>
  <w15:docId w15:val="{47C16654-AE68-4801-A6B8-9DF8A75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5953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2</cp:revision>
  <dcterms:created xsi:type="dcterms:W3CDTF">2019-11-21T15:15:00Z</dcterms:created>
  <dcterms:modified xsi:type="dcterms:W3CDTF">2019-12-31T07:43:00Z</dcterms:modified>
</cp:coreProperties>
</file>