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FF" w:rsidRPr="00106602" w:rsidRDefault="00D545FF" w:rsidP="00D545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66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Materials and </w:t>
      </w:r>
      <w:r w:rsidR="00106602" w:rsidRPr="00106602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106602">
        <w:rPr>
          <w:rFonts w:ascii="Times New Roman" w:hAnsi="Times New Roman" w:cs="Times New Roman"/>
          <w:b/>
          <w:sz w:val="24"/>
          <w:szCs w:val="24"/>
          <w:lang w:val="en-GB"/>
        </w:rPr>
        <w:t>ethods</w:t>
      </w:r>
    </w:p>
    <w:p w:rsidR="00D545FF" w:rsidRPr="00B21555" w:rsidRDefault="00D545FF" w:rsidP="00D54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1555">
        <w:rPr>
          <w:rFonts w:ascii="Times New Roman" w:hAnsi="Times New Roman" w:cs="Times New Roman"/>
          <w:sz w:val="24"/>
          <w:szCs w:val="24"/>
          <w:lang w:val="en-GB"/>
        </w:rPr>
        <w:t>The study was approved by</w:t>
      </w:r>
      <w:r w:rsidRPr="00B21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the local Ethics Committee of </w:t>
      </w:r>
      <w:r w:rsidR="00106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 w:rsidRPr="00B21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Lithuanian University of Health </w:t>
      </w:r>
      <w:r w:rsidR="00106602" w:rsidRPr="00B21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Sciences </w:t>
      </w:r>
      <w:r w:rsidRPr="00B21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(LUHS).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From 2016 to </w:t>
      </w:r>
      <w:r w:rsidR="00106602"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January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patients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10660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37) data were prospectively collected in 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>local database of the Department of Skin and Venereal Diseases of the Hospital of LUHS</w:t>
      </w:r>
      <w:r w:rsidRPr="00B21555" w:rsidDel="00EA0F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1555">
        <w:rPr>
          <w:rFonts w:ascii="Times New Roman" w:hAnsi="Times New Roman" w:cs="Times New Roman"/>
          <w:sz w:val="24"/>
          <w:szCs w:val="24"/>
          <w:lang w:val="en-GB"/>
        </w:rPr>
        <w:t>Kauno</w:t>
      </w:r>
      <w:proofErr w:type="spellEnd"/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6602" w:rsidRPr="00B2155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>linikos</w:t>
      </w:r>
      <w:proofErr w:type="spellEnd"/>
      <w:r w:rsidRPr="00B21555">
        <w:rPr>
          <w:rFonts w:ascii="Times New Roman" w:hAnsi="Times New Roman" w:cs="Times New Roman"/>
          <w:sz w:val="24"/>
          <w:szCs w:val="24"/>
          <w:lang w:val="en-GB"/>
        </w:rPr>
        <w:t>, member of ERN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Skin. Inclusion criteria of this study were: 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1) patients older than 18 years and 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2) HS diagnosis which was made by 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B21555">
        <w:rPr>
          <w:rFonts w:ascii="Times New Roman" w:hAnsi="Times New Roman" w:cs="Times New Roman"/>
          <w:sz w:val="24"/>
          <w:szCs w:val="24"/>
          <w:lang w:val="en-GB"/>
        </w:rPr>
        <w:t>dermatovenereologist</w:t>
      </w:r>
      <w:proofErr w:type="spellEnd"/>
      <w:r w:rsidRPr="00B21555">
        <w:rPr>
          <w:rFonts w:ascii="Times New Roman" w:hAnsi="Times New Roman" w:cs="Times New Roman"/>
          <w:sz w:val="24"/>
          <w:szCs w:val="24"/>
          <w:lang w:val="en-GB"/>
        </w:rPr>
        <w:t>, based on the European S1 guidelines [1]. Data about sex, age, residence, time from disease onset, affected locations, number of affected locations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>body mass index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was collected. Moreover, information about comorbidities 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>as diabetes mellitus, joint diseases, psoriasis, inflammatory bowel diseases, obesity</w:t>
      </w:r>
      <w:r w:rsidR="00106602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overweight was assembled. All patients were assessed for severity according to Hurley stage. HS </w:t>
      </w:r>
      <w:r w:rsidR="00106602" w:rsidRPr="00B21555">
        <w:rPr>
          <w:rFonts w:ascii="Times New Roman" w:hAnsi="Times New Roman" w:cs="Times New Roman"/>
          <w:sz w:val="24"/>
          <w:szCs w:val="24"/>
          <w:lang w:val="en-GB"/>
        </w:rPr>
        <w:t>Physical Global As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>sessment, Dermatological Life Quality Index, International Hidradenitis Suppurativa Severity Score System and pain visual analogue scale score were collected. Furthermore, information about skin swab culture (collected from inflammatory lesions, aerobic only, 2 days</w:t>
      </w:r>
      <w:r w:rsidR="00A72C8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growth) and prescribed treatment methods were included (Fig</w:t>
      </w:r>
      <w:r w:rsidR="00A72C8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1). </w:t>
      </w:r>
    </w:p>
    <w:p w:rsidR="00D545FF" w:rsidRPr="00B21555" w:rsidRDefault="00D545FF" w:rsidP="00D54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Statistical analysis was performed by using </w:t>
      </w:r>
      <w:r w:rsidR="0009246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IBM SPSS 24.0 software package. </w:t>
      </w:r>
      <w:r w:rsidRPr="00B21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Descriptive statistics was presented as means and standard deviations (in parentheses) or percentages when appropriate.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Non</w:t>
      </w:r>
      <w:r w:rsidR="00FD17F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parametric tests </w:t>
      </w:r>
      <w:r w:rsidR="00FD17FC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FD17FC" w:rsidRPr="00FD17FC">
        <w:rPr>
          <w:rFonts w:ascii="Times New Roman" w:hAnsi="Times New Roman" w:cs="Times New Roman"/>
          <w:sz w:val="24"/>
          <w:szCs w:val="24"/>
          <w:lang w:val="en-GB"/>
        </w:rPr>
        <w:t>χ</w:t>
      </w:r>
      <w:r w:rsidR="00FD17F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and Man</w:t>
      </w:r>
      <w:r w:rsidR="00FD17F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-Whitney were used for assessing interdependence between qualitative data. The results were considered as statistically significant, where p &lt; 0.05. Logistic regression analysis was performed to find out factors statistically related with significant diagnosis delay. </w:t>
      </w:r>
      <w:r w:rsidR="00FD17FC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D17FC" w:rsidRPr="00B2155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>ccord</w:t>
      </w:r>
      <w:r w:rsidR="00FD17FC">
        <w:rPr>
          <w:rFonts w:ascii="Times New Roman" w:hAnsi="Times New Roman" w:cs="Times New Roman"/>
          <w:sz w:val="24"/>
          <w:szCs w:val="24"/>
          <w:lang w:val="en-GB"/>
        </w:rPr>
        <w:t>ance with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the literature, </w:t>
      </w:r>
      <w:r w:rsidR="00FD17F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delay </w:t>
      </w:r>
      <w:r w:rsidR="00FD17FC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>more than 2 years was considered as significant</w:t>
      </w:r>
      <w:r w:rsidR="00FD17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and sex, age of onset and disease severity were selected as potentially related factors [2]. </w:t>
      </w:r>
      <w:r w:rsidRPr="00B21555">
        <w:rPr>
          <w:rFonts w:ascii="Times New Roman" w:hAnsi="Times New Roman" w:cs="Times New Roman"/>
          <w:sz w:val="24"/>
          <w:lang w:val="en-GB"/>
        </w:rPr>
        <w:t xml:space="preserve">Confidence intervals were used to calculate the lower and upper limits of the 95% </w:t>
      </w:r>
      <w:r w:rsidR="00FD17FC">
        <w:rPr>
          <w:rFonts w:ascii="Times New Roman" w:hAnsi="Times New Roman" w:cs="Times New Roman"/>
          <w:sz w:val="24"/>
          <w:lang w:val="en-GB"/>
        </w:rPr>
        <w:t>o</w:t>
      </w:r>
      <w:r w:rsidRPr="00B21555">
        <w:rPr>
          <w:rFonts w:ascii="Times New Roman" w:hAnsi="Times New Roman" w:cs="Times New Roman"/>
          <w:sz w:val="24"/>
          <w:lang w:val="en-GB"/>
        </w:rPr>
        <w:t>f a propo</w:t>
      </w:r>
      <w:bookmarkStart w:id="0" w:name="_GoBack"/>
      <w:bookmarkEnd w:id="0"/>
      <w:r w:rsidRPr="00B21555">
        <w:rPr>
          <w:rFonts w:ascii="Times New Roman" w:hAnsi="Times New Roman" w:cs="Times New Roman"/>
          <w:sz w:val="24"/>
          <w:lang w:val="en-GB"/>
        </w:rPr>
        <w:t>rtion (</w:t>
      </w:r>
      <w:hyperlink r:id="rId4" w:history="1">
        <w:r w:rsidRPr="00FD17FC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en-GB"/>
          </w:rPr>
          <w:t>http://vassarstats.net/prop1.html</w:t>
        </w:r>
      </w:hyperlink>
      <w:r w:rsidRPr="00B21555">
        <w:rPr>
          <w:rFonts w:ascii="Times New Roman" w:hAnsi="Times New Roman" w:cs="Times New Roman"/>
          <w:sz w:val="24"/>
          <w:lang w:val="en-GB"/>
        </w:rPr>
        <w:t>).</w:t>
      </w:r>
      <w:r w:rsidRPr="00B215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856C7" w:rsidRPr="00D545FF" w:rsidRDefault="004856C7">
      <w:pPr>
        <w:rPr>
          <w:lang w:val="en-GB"/>
        </w:rPr>
      </w:pPr>
    </w:p>
    <w:sectPr w:rsidR="004856C7" w:rsidRPr="00D54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F"/>
    <w:rsid w:val="00092460"/>
    <w:rsid w:val="00106602"/>
    <w:rsid w:val="004856C7"/>
    <w:rsid w:val="007B524A"/>
    <w:rsid w:val="00A72C8B"/>
    <w:rsid w:val="00D545FF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0E87C"/>
  <w15:chartTrackingRefBased/>
  <w15:docId w15:val="{C20B786A-CAB7-4605-8DC3-076554E9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45FF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4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sarstats.net/prop1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5</cp:revision>
  <dcterms:created xsi:type="dcterms:W3CDTF">2020-01-07T12:42:00Z</dcterms:created>
  <dcterms:modified xsi:type="dcterms:W3CDTF">2020-01-08T10:54:00Z</dcterms:modified>
</cp:coreProperties>
</file>