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04DA9" w14:textId="350800C9" w:rsidR="009B11A5" w:rsidRPr="00190D22" w:rsidRDefault="00B561F6" w:rsidP="00074443">
      <w:pPr>
        <w:rPr>
          <w:rFonts w:ascii="Cambria" w:hAnsi="Cambria"/>
          <w:b/>
          <w:bCs/>
          <w:i/>
          <w:iCs/>
          <w:sz w:val="28"/>
          <w:szCs w:val="28"/>
          <w:lang w:val="en-CA"/>
        </w:rPr>
      </w:pPr>
      <w:bookmarkStart w:id="0" w:name="_GoBack"/>
      <w:r w:rsidRPr="00190D22">
        <w:rPr>
          <w:rFonts w:ascii="Cambria" w:hAnsi="Cambria"/>
          <w:b/>
          <w:bCs/>
          <w:i/>
          <w:iCs/>
          <w:sz w:val="28"/>
          <w:szCs w:val="28"/>
          <w:lang w:val="en-CA"/>
        </w:rPr>
        <w:t>SUPPLEMENTARY MATERIAL</w:t>
      </w:r>
    </w:p>
    <w:p w14:paraId="44A02316" w14:textId="77777777" w:rsidR="009B11A5" w:rsidRPr="00EE6D8B" w:rsidRDefault="009B11A5"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Medical History of Disease</w:t>
      </w:r>
    </w:p>
    <w:p w14:paraId="4E6EE2E6" w14:textId="50ED5A00" w:rsidR="009B11A5" w:rsidRDefault="009B11A5" w:rsidP="009B11A5">
      <w:pPr>
        <w:rPr>
          <w:lang w:val="en-CA"/>
        </w:rPr>
      </w:pPr>
      <w:r>
        <w:rPr>
          <w:lang w:val="en-CA"/>
        </w:rPr>
        <w:t xml:space="preserve">Note the etiology of obesity according to the following categories </w:t>
      </w:r>
      <w:r>
        <w:rPr>
          <w:lang w:val="en-CA"/>
        </w:rPr>
        <w:fldChar w:fldCharType="begin" w:fldLock="1"/>
      </w:r>
      <w:r w:rsidR="00F07B98">
        <w:rPr>
          <w:lang w:val="en-CA"/>
        </w:rPr>
        <w:instrText>ADDIN CSL_CITATION {"citationItems":[{"id":"ITEM-1","itemData":{"DOI":"10.1159/000479208","ISSN":"1662-4033","PMID":"28738325","abstract":"Diagnostic criteria for complex medical conditions caused by a multitude of both genetic and environmental factors should be descriptive and avoid any attribution of causality. Furthermore, the wording used to describe a disorder should be evidence-based and avoid stigmatization of the affected individuals. Both terminology and categorizations should be readily comprehensible for healthcare professionals and guide clinical decision making. Uncertainties with respect to diagnostic issues and their implications may be addressed to direct future clinical research. In this context, the European Association of the Study of Obesity (EASO) considers it an important endeavor to review the current ICD-11 Beta Draft for the definition of overweight and obesity and to propose a substantial revision. We aim to provide an overview of the key issues that we deem relevant for the discussion of the diagnostic criteria. We first discuss the current ICD-10 criteria and those proposed in the ICD 11 Beta Draft. We conclude with our own proposal for diagnostic criteria, which we believe will improve the assessment of patients with obesity in a clinically meaningful way.","author":[{"dropping-particle":"","family":"Hebebrand","given":"Johannes","non-dropping-particle":"","parse-names":false,"suffix":""},{"dropping-particle":"","family":"Holm","given":"Jens-Christian","non-dropping-particle":"","parse-names":false,"suffix":""},{"dropping-particle":"","family":"Woodward","given":"Euan","non-dropping-particle":"","parse-names":false,"suffix":""},{"dropping-particle":"","family":"Baker","given":"Jennifer Lyn","non-dropping-particle":"","parse-names":false,"suffix":""},{"dropping-particle":"","family":"Blaak","given":"Ellen","non-dropping-particle":"","parse-names":false,"suffix":""},{"dropping-particle":"","family":"Durrer Schutz","given":"Dominique","non-dropping-particle":"","parse-names":false,"suffix":""},{"dropping-particle":"","family":"Farpour-Lambert","given":"Nathalie J","non-dropping-particle":"","parse-names":false,"suffix":""},{"dropping-particle":"","family":"Frühbeck","given":"Gema","non-dropping-particle":"","parse-names":false,"suffix":""},{"dropping-particle":"","family":"Halford","given":"Jason G C","non-dropping-particle":"","parse-names":false,"suffix":""},{"dropping-particle":"","family":"Lissner","given":"Lauren","non-dropping-particle":"","parse-names":false,"suffix":""},{"dropping-particle":"","family":"Micic","given":"Dragan","non-dropping-particle":"","parse-names":false,"suffix":""},{"dropping-particle":"","family":"Mullerova","given":"Dana","non-dropping-particle":"","parse-names":false,"suffix":""},{"dropping-particle":"","family":"Roman","given":"Gabriela","non-dropping-particle":"","parse-names":false,"suffix":""},{"dropping-particle":"","family":"Schindler","given":"Karin","non-dropping-particle":"","parse-names":false,"suffix":""},{"dropping-particle":"","family":"Toplak","given":"Hermann","non-dropping-particle":"","parse-names":false,"suffix":""},{"dropping-particle":"","family":"Visscher","given":"Tommy L S","non-dropping-particle":"","parse-names":false,"suffix":""},{"dropping-particle":"","family":"Yumuk","given":"Volkan","non-dropping-particle":"","parse-names":false,"suffix":""}],"container-title":"Obesity facts","id":"ITEM-1","issue":"4","issued":{"date-parts":[["2017"]]},"page":"284-307","publisher":"Karger Publishers","title":"A Proposal of the European Association for the Study of Obesity to Improve the ICD-11 Diagnostic Criteria for Obesity Based on the Three Dimensions Etiology, Degree of Adiposity and Health Risk.","type":"article-journal","volume":"10"},"uris":["http://www.mendeley.com/documents/?uuid=72f003c7-6d47-322e-b4b8-a75ffe78f37b"]}],"mendeley":{"formattedCitation":"(1)","plainTextFormattedCitation":"(1)","previouslyFormattedCitation":"(Hebebrand et al., 2017)"},"properties":{"noteIndex":0},"schema":"https://github.com/citation-style-language/schema/raw/master/csl-citation.json"}</w:instrText>
      </w:r>
      <w:r>
        <w:rPr>
          <w:lang w:val="en-CA"/>
        </w:rPr>
        <w:fldChar w:fldCharType="separate"/>
      </w:r>
      <w:r w:rsidR="00F07B98" w:rsidRPr="00F07B98">
        <w:rPr>
          <w:noProof/>
          <w:lang w:val="en-CA"/>
        </w:rPr>
        <w:t>(1)</w:t>
      </w:r>
      <w:r>
        <w:rPr>
          <w:lang w:val="en-CA"/>
        </w:rPr>
        <w:fldChar w:fldCharType="end"/>
      </w:r>
      <w:r>
        <w:rPr>
          <w:lang w:val="en-CA"/>
        </w:rPr>
        <w:t>:</w:t>
      </w:r>
    </w:p>
    <w:p w14:paraId="0F037E94" w14:textId="77777777" w:rsidR="009B11A5" w:rsidRDefault="009B11A5" w:rsidP="009B11A5">
      <w:pPr>
        <w:pStyle w:val="Paragraphedeliste"/>
        <w:numPr>
          <w:ilvl w:val="0"/>
          <w:numId w:val="1"/>
        </w:numPr>
        <w:rPr>
          <w:lang w:val="en-CA"/>
        </w:rPr>
      </w:pPr>
      <w:r>
        <w:rPr>
          <w:lang w:val="en-CA"/>
        </w:rPr>
        <w:t>Obesity, iatrogenic</w:t>
      </w:r>
    </w:p>
    <w:p w14:paraId="141BB242" w14:textId="77777777" w:rsidR="009B11A5" w:rsidRDefault="009B11A5" w:rsidP="009B11A5">
      <w:pPr>
        <w:pStyle w:val="Paragraphedeliste"/>
        <w:numPr>
          <w:ilvl w:val="0"/>
          <w:numId w:val="1"/>
        </w:numPr>
        <w:rPr>
          <w:lang w:val="en-CA"/>
        </w:rPr>
      </w:pPr>
      <w:r>
        <w:rPr>
          <w:lang w:val="en-CA"/>
        </w:rPr>
        <w:t>Obesity arising from or aggravated by drug-induced weight gain</w:t>
      </w:r>
    </w:p>
    <w:p w14:paraId="05925430" w14:textId="77777777" w:rsidR="009B11A5" w:rsidRDefault="009B11A5" w:rsidP="009B11A5">
      <w:pPr>
        <w:pStyle w:val="Paragraphedeliste"/>
        <w:numPr>
          <w:ilvl w:val="0"/>
          <w:numId w:val="1"/>
        </w:numPr>
        <w:rPr>
          <w:lang w:val="en-CA"/>
        </w:rPr>
      </w:pPr>
      <w:r>
        <w:rPr>
          <w:lang w:val="en-CA"/>
        </w:rPr>
        <w:t>Obesity arising from or aggravated by other iatrogenic procedures</w:t>
      </w:r>
    </w:p>
    <w:p w14:paraId="59B4707B" w14:textId="77777777" w:rsidR="009B11A5" w:rsidRDefault="009B11A5" w:rsidP="009B11A5">
      <w:pPr>
        <w:pStyle w:val="Paragraphedeliste"/>
        <w:numPr>
          <w:ilvl w:val="0"/>
          <w:numId w:val="1"/>
        </w:numPr>
        <w:rPr>
          <w:lang w:val="en-CA"/>
        </w:rPr>
      </w:pPr>
      <w:r>
        <w:rPr>
          <w:lang w:val="en-CA"/>
        </w:rPr>
        <w:t>Obesity arising from or aggravated by a certain defined disease/condition</w:t>
      </w:r>
    </w:p>
    <w:p w14:paraId="7A4BFD9D" w14:textId="77777777" w:rsidR="009B11A5" w:rsidRDefault="009B11A5" w:rsidP="009B11A5">
      <w:pPr>
        <w:pStyle w:val="Paragraphedeliste"/>
        <w:numPr>
          <w:ilvl w:val="1"/>
          <w:numId w:val="1"/>
        </w:numPr>
        <w:rPr>
          <w:lang w:val="en-CA"/>
        </w:rPr>
      </w:pPr>
      <w:r>
        <w:rPr>
          <w:lang w:val="en-CA"/>
        </w:rPr>
        <w:t>Obesity arising from or aggravated by a certain defined endocrine disease</w:t>
      </w:r>
    </w:p>
    <w:p w14:paraId="504D758F" w14:textId="77777777" w:rsidR="009B11A5" w:rsidRDefault="009B11A5" w:rsidP="009B11A5">
      <w:pPr>
        <w:pStyle w:val="Paragraphedeliste"/>
        <w:numPr>
          <w:ilvl w:val="0"/>
          <w:numId w:val="1"/>
        </w:numPr>
        <w:rPr>
          <w:lang w:val="en-CA"/>
        </w:rPr>
      </w:pPr>
      <w:r>
        <w:rPr>
          <w:lang w:val="en-CA"/>
        </w:rPr>
        <w:t>Obesity arising from or aggravated by a certain defined neoplasm</w:t>
      </w:r>
    </w:p>
    <w:p w14:paraId="46A3BCCD" w14:textId="77777777" w:rsidR="009B11A5" w:rsidRDefault="009B11A5" w:rsidP="009B11A5">
      <w:pPr>
        <w:pStyle w:val="Paragraphedeliste"/>
        <w:numPr>
          <w:ilvl w:val="0"/>
          <w:numId w:val="1"/>
        </w:numPr>
        <w:rPr>
          <w:lang w:val="en-CA"/>
        </w:rPr>
      </w:pPr>
      <w:r>
        <w:rPr>
          <w:lang w:val="en-CA"/>
        </w:rPr>
        <w:t>Obesity arising from or aggravated by major depressive disorder</w:t>
      </w:r>
    </w:p>
    <w:p w14:paraId="128ED3C0" w14:textId="77777777" w:rsidR="009B11A5" w:rsidRDefault="009B11A5" w:rsidP="009B11A5">
      <w:pPr>
        <w:pStyle w:val="Paragraphedeliste"/>
        <w:numPr>
          <w:ilvl w:val="0"/>
          <w:numId w:val="1"/>
        </w:numPr>
        <w:rPr>
          <w:lang w:val="en-CA"/>
        </w:rPr>
      </w:pPr>
      <w:r>
        <w:rPr>
          <w:lang w:val="en-CA"/>
        </w:rPr>
        <w:t>Obesity arising from or aggravated by immobilization/inactivity</w:t>
      </w:r>
    </w:p>
    <w:p w14:paraId="0C5E26F9" w14:textId="77777777" w:rsidR="009B11A5" w:rsidRDefault="009B11A5" w:rsidP="009B11A5">
      <w:pPr>
        <w:pStyle w:val="Paragraphedeliste"/>
        <w:numPr>
          <w:ilvl w:val="0"/>
          <w:numId w:val="1"/>
        </w:numPr>
        <w:rPr>
          <w:lang w:val="en-CA"/>
        </w:rPr>
      </w:pPr>
      <w:r>
        <w:rPr>
          <w:lang w:val="en-CA"/>
        </w:rPr>
        <w:t>Obesity attributable to more than one certain defined etiological factor</w:t>
      </w:r>
    </w:p>
    <w:p w14:paraId="1309D71B" w14:textId="77777777" w:rsidR="009B11A5" w:rsidRDefault="009B11A5" w:rsidP="009B11A5">
      <w:pPr>
        <w:pStyle w:val="Paragraphedeliste"/>
        <w:numPr>
          <w:ilvl w:val="0"/>
          <w:numId w:val="1"/>
        </w:numPr>
        <w:rPr>
          <w:lang w:val="en-CA"/>
        </w:rPr>
      </w:pPr>
      <w:r>
        <w:rPr>
          <w:lang w:val="en-CA"/>
        </w:rPr>
        <w:t>Obesity due to monogenic disease/genetic syndrome</w:t>
      </w:r>
    </w:p>
    <w:p w14:paraId="7B8DE692" w14:textId="77777777" w:rsidR="009B11A5" w:rsidRDefault="009B11A5" w:rsidP="009B11A5">
      <w:pPr>
        <w:pStyle w:val="Paragraphedeliste"/>
        <w:numPr>
          <w:ilvl w:val="0"/>
          <w:numId w:val="1"/>
        </w:numPr>
        <w:rPr>
          <w:lang w:val="en-CA"/>
        </w:rPr>
      </w:pPr>
      <w:r>
        <w:rPr>
          <w:lang w:val="en-CA"/>
        </w:rPr>
        <w:t>Obesity due to other major causes</w:t>
      </w:r>
    </w:p>
    <w:p w14:paraId="0DD35EFC" w14:textId="77777777" w:rsidR="009B11A5" w:rsidRPr="00D45EC0" w:rsidRDefault="009B11A5" w:rsidP="009B11A5">
      <w:pPr>
        <w:rPr>
          <w:lang w:val="en-CA"/>
        </w:rPr>
      </w:pPr>
      <w:r>
        <w:rPr>
          <w:lang w:val="en-CA"/>
        </w:rPr>
        <w:t>Use this c</w:t>
      </w:r>
      <w:r w:rsidRPr="00D45EC0">
        <w:rPr>
          <w:lang w:val="en-CA"/>
        </w:rPr>
        <w:t>ustom assessment:</w:t>
      </w:r>
    </w:p>
    <w:tbl>
      <w:tblPr>
        <w:tblW w:w="7917" w:type="dxa"/>
        <w:tblCellMar>
          <w:left w:w="0" w:type="dxa"/>
          <w:right w:w="0" w:type="dxa"/>
        </w:tblCellMar>
        <w:tblLook w:val="0420" w:firstRow="1" w:lastRow="0" w:firstColumn="0" w:lastColumn="0" w:noHBand="0" w:noVBand="1"/>
      </w:tblPr>
      <w:tblGrid>
        <w:gridCol w:w="1311"/>
        <w:gridCol w:w="6606"/>
      </w:tblGrid>
      <w:tr w:rsidR="009B11A5" w:rsidRPr="00BB42EB" w14:paraId="732DAF97" w14:textId="77777777" w:rsidTr="005405AB">
        <w:trPr>
          <w:trHeight w:val="859"/>
        </w:trPr>
        <w:tc>
          <w:tcPr>
            <w:tcW w:w="1311" w:type="dxa"/>
            <w:vMerge w:val="restart"/>
            <w:tcBorders>
              <w:top w:val="single" w:sz="8" w:space="0" w:color="A5A5A5"/>
              <w:left w:val="single" w:sz="8" w:space="0" w:color="A5A5A5"/>
              <w:right w:val="single" w:sz="8" w:space="0" w:color="A5A5A5"/>
            </w:tcBorders>
            <w:shd w:val="clear" w:color="auto" w:fill="auto"/>
            <w:tcMar>
              <w:top w:w="72" w:type="dxa"/>
              <w:left w:w="144" w:type="dxa"/>
              <w:bottom w:w="72" w:type="dxa"/>
              <w:right w:w="144" w:type="dxa"/>
            </w:tcMar>
            <w:hideMark/>
          </w:tcPr>
          <w:p w14:paraId="00EFAB6A" w14:textId="77777777" w:rsidR="009B11A5" w:rsidRPr="0068762B" w:rsidRDefault="009B11A5" w:rsidP="00624B86">
            <w:pPr>
              <w:rPr>
                <w:bCs/>
                <w:lang w:val="en-US"/>
              </w:rPr>
            </w:pPr>
            <w:r w:rsidRPr="0068762B">
              <w:rPr>
                <w:bCs/>
                <w:lang w:val="en-US"/>
              </w:rPr>
              <w:t>Self-report</w:t>
            </w:r>
          </w:p>
        </w:tc>
        <w:tc>
          <w:tcPr>
            <w:tcW w:w="660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hideMark/>
          </w:tcPr>
          <w:p w14:paraId="058FA806" w14:textId="77777777" w:rsidR="009B11A5" w:rsidRPr="005405AB" w:rsidRDefault="009B11A5" w:rsidP="00624B86">
            <w:pPr>
              <w:rPr>
                <w:lang w:val="en-CA"/>
              </w:rPr>
            </w:pPr>
            <w:r w:rsidRPr="005405AB">
              <w:rPr>
                <w:lang w:val="en-CA"/>
              </w:rPr>
              <w:t xml:space="preserve">At what age did you begin to gain significant weight? </w:t>
            </w:r>
          </w:p>
        </w:tc>
      </w:tr>
      <w:tr w:rsidR="009B11A5" w:rsidRPr="00BB42EB" w14:paraId="579BE727" w14:textId="77777777" w:rsidTr="005405AB">
        <w:trPr>
          <w:trHeight w:val="702"/>
        </w:trPr>
        <w:tc>
          <w:tcPr>
            <w:tcW w:w="0" w:type="auto"/>
            <w:vMerge/>
            <w:tcBorders>
              <w:left w:val="single" w:sz="8" w:space="0" w:color="A5A5A5"/>
              <w:right w:val="single" w:sz="8" w:space="0" w:color="A5A5A5"/>
            </w:tcBorders>
            <w:shd w:val="clear" w:color="auto" w:fill="auto"/>
            <w:vAlign w:val="center"/>
            <w:hideMark/>
          </w:tcPr>
          <w:p w14:paraId="3AB62F25" w14:textId="77777777" w:rsidR="009B11A5" w:rsidRPr="005405AB" w:rsidRDefault="009B11A5" w:rsidP="00624B86">
            <w:pPr>
              <w:rPr>
                <w:lang w:val="en-US"/>
              </w:rPr>
            </w:pPr>
          </w:p>
        </w:tc>
        <w:tc>
          <w:tcPr>
            <w:tcW w:w="660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hideMark/>
          </w:tcPr>
          <w:p w14:paraId="7A3B7F9F" w14:textId="77777777" w:rsidR="009B11A5" w:rsidRPr="005405AB" w:rsidRDefault="009B11A5" w:rsidP="00624B86">
            <w:pPr>
              <w:rPr>
                <w:lang w:val="en-CA"/>
              </w:rPr>
            </w:pPr>
            <w:r w:rsidRPr="005405AB">
              <w:rPr>
                <w:lang w:val="en-CA"/>
              </w:rPr>
              <w:t>In adulthood (age 18 and older), what has been your lowest body weight? What has been your highest body weight?</w:t>
            </w:r>
          </w:p>
        </w:tc>
      </w:tr>
      <w:tr w:rsidR="009B11A5" w:rsidRPr="00BB42EB" w14:paraId="72D4CC90" w14:textId="77777777" w:rsidTr="005405AB">
        <w:trPr>
          <w:trHeight w:val="702"/>
        </w:trPr>
        <w:tc>
          <w:tcPr>
            <w:tcW w:w="0" w:type="auto"/>
            <w:vMerge/>
            <w:tcBorders>
              <w:left w:val="single" w:sz="8" w:space="0" w:color="A5A5A5"/>
              <w:right w:val="single" w:sz="8" w:space="0" w:color="A5A5A5"/>
            </w:tcBorders>
            <w:shd w:val="clear" w:color="auto" w:fill="auto"/>
            <w:vAlign w:val="center"/>
            <w:hideMark/>
          </w:tcPr>
          <w:p w14:paraId="12FFAEB1" w14:textId="77777777" w:rsidR="009B11A5" w:rsidRPr="005405AB" w:rsidRDefault="009B11A5" w:rsidP="00624B86">
            <w:pPr>
              <w:rPr>
                <w:lang w:val="en-US"/>
              </w:rPr>
            </w:pPr>
          </w:p>
        </w:tc>
        <w:tc>
          <w:tcPr>
            <w:tcW w:w="660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hideMark/>
          </w:tcPr>
          <w:p w14:paraId="75DD88E0" w14:textId="77777777" w:rsidR="009B11A5" w:rsidRPr="005405AB" w:rsidRDefault="009B11A5" w:rsidP="00624B86">
            <w:pPr>
              <w:rPr>
                <w:lang w:val="en-CA"/>
              </w:rPr>
            </w:pPr>
            <w:r w:rsidRPr="005405AB">
              <w:rPr>
                <w:lang w:val="en-US"/>
              </w:rPr>
              <w:t>How much weight have you gained or lost in the past 3 months?</w:t>
            </w:r>
          </w:p>
          <w:p w14:paraId="4ED8EBA4" w14:textId="77777777" w:rsidR="009B11A5" w:rsidRPr="005405AB" w:rsidRDefault="009B11A5" w:rsidP="00624B86">
            <w:pPr>
              <w:rPr>
                <w:lang w:val="en-US"/>
              </w:rPr>
            </w:pPr>
          </w:p>
        </w:tc>
      </w:tr>
      <w:tr w:rsidR="009B11A5" w:rsidRPr="00BB42EB" w14:paraId="5AD27218" w14:textId="77777777" w:rsidTr="0068762B">
        <w:trPr>
          <w:trHeight w:val="702"/>
        </w:trPr>
        <w:tc>
          <w:tcPr>
            <w:tcW w:w="0" w:type="auto"/>
            <w:vMerge/>
            <w:tcBorders>
              <w:left w:val="single" w:sz="8" w:space="0" w:color="A5A5A5"/>
              <w:bottom w:val="single" w:sz="4" w:space="0" w:color="auto"/>
              <w:right w:val="single" w:sz="8" w:space="0" w:color="A5A5A5"/>
            </w:tcBorders>
            <w:vAlign w:val="center"/>
          </w:tcPr>
          <w:p w14:paraId="68B8B648" w14:textId="77777777" w:rsidR="009B11A5" w:rsidRPr="005405AB" w:rsidRDefault="009B11A5" w:rsidP="00624B86">
            <w:pPr>
              <w:rPr>
                <w:lang w:val="en-US"/>
              </w:rPr>
            </w:pPr>
          </w:p>
        </w:tc>
        <w:tc>
          <w:tcPr>
            <w:tcW w:w="6606" w:type="dxa"/>
            <w:tcBorders>
              <w:top w:val="single" w:sz="8" w:space="0" w:color="A5A5A5"/>
              <w:left w:val="single" w:sz="8" w:space="0" w:color="A5A5A5"/>
              <w:bottom w:val="single" w:sz="4" w:space="0" w:color="auto"/>
              <w:right w:val="single" w:sz="8" w:space="0" w:color="A5A5A5"/>
            </w:tcBorders>
            <w:shd w:val="clear" w:color="auto" w:fill="auto"/>
            <w:tcMar>
              <w:top w:w="72" w:type="dxa"/>
              <w:left w:w="144" w:type="dxa"/>
              <w:bottom w:w="72" w:type="dxa"/>
              <w:right w:w="144" w:type="dxa"/>
            </w:tcMar>
          </w:tcPr>
          <w:p w14:paraId="1135DFAC" w14:textId="77777777" w:rsidR="009B11A5" w:rsidRPr="009C6D80" w:rsidRDefault="009B11A5" w:rsidP="00624B86">
            <w:pPr>
              <w:rPr>
                <w:lang w:val="en-US"/>
              </w:rPr>
            </w:pPr>
            <w:r w:rsidRPr="005405AB">
              <w:rPr>
                <w:lang w:val="en-US"/>
              </w:rPr>
              <w:t>How many times have you lost 10 kg or more?</w:t>
            </w:r>
          </w:p>
        </w:tc>
      </w:tr>
    </w:tbl>
    <w:p w14:paraId="566FEDCA" w14:textId="77777777" w:rsidR="009B11A5" w:rsidRPr="00AC3A18" w:rsidRDefault="009B11A5" w:rsidP="009B11A5">
      <w:pPr>
        <w:rPr>
          <w:lang w:val="en-CA"/>
        </w:rPr>
      </w:pPr>
      <w:r w:rsidRPr="00575F1D">
        <w:rPr>
          <w:lang w:val="en-CA"/>
        </w:rPr>
        <w:t xml:space="preserve"> </w:t>
      </w:r>
      <w:r>
        <w:rPr>
          <w:lang w:val="en-CA"/>
        </w:rPr>
        <w:t xml:space="preserve"> </w:t>
      </w:r>
    </w:p>
    <w:p w14:paraId="1F024DE1" w14:textId="77777777" w:rsidR="009B11A5" w:rsidRPr="00EE6D8B" w:rsidRDefault="009B11A5"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Basic Background Information</w:t>
      </w:r>
    </w:p>
    <w:p w14:paraId="36726F01" w14:textId="77777777" w:rsidR="009B11A5" w:rsidRPr="00D45EC0" w:rsidRDefault="009B11A5" w:rsidP="009B11A5">
      <w:pPr>
        <w:rPr>
          <w:lang w:val="en-CA"/>
        </w:rPr>
      </w:pPr>
      <w:r>
        <w:rPr>
          <w:lang w:val="en-CA"/>
        </w:rPr>
        <w:t>Use this c</w:t>
      </w:r>
      <w:r w:rsidRPr="00D45EC0">
        <w:rPr>
          <w:lang w:val="en-CA"/>
        </w:rPr>
        <w:t>ustom assessment:</w:t>
      </w:r>
    </w:p>
    <w:tbl>
      <w:tblPr>
        <w:tblW w:w="7917" w:type="dxa"/>
        <w:tblCellMar>
          <w:left w:w="0" w:type="dxa"/>
          <w:right w:w="0" w:type="dxa"/>
        </w:tblCellMar>
        <w:tblLook w:val="0420" w:firstRow="1" w:lastRow="0" w:firstColumn="0" w:lastColumn="0" w:noHBand="0" w:noVBand="1"/>
      </w:tblPr>
      <w:tblGrid>
        <w:gridCol w:w="1311"/>
        <w:gridCol w:w="6606"/>
      </w:tblGrid>
      <w:tr w:rsidR="009B11A5" w:rsidRPr="00BB42EB" w14:paraId="4CF645DF" w14:textId="77777777" w:rsidTr="0068762B">
        <w:trPr>
          <w:trHeight w:val="859"/>
        </w:trPr>
        <w:tc>
          <w:tcPr>
            <w:tcW w:w="1311" w:type="dxa"/>
            <w:vMerge w:val="restart"/>
            <w:tcBorders>
              <w:top w:val="single" w:sz="8" w:space="0" w:color="A5A5A5"/>
              <w:left w:val="single" w:sz="8" w:space="0" w:color="A5A5A5"/>
              <w:right w:val="single" w:sz="8" w:space="0" w:color="A5A5A5"/>
            </w:tcBorders>
            <w:shd w:val="clear" w:color="auto" w:fill="auto"/>
            <w:tcMar>
              <w:top w:w="72" w:type="dxa"/>
              <w:left w:w="144" w:type="dxa"/>
              <w:bottom w:w="72" w:type="dxa"/>
              <w:right w:w="144" w:type="dxa"/>
            </w:tcMar>
          </w:tcPr>
          <w:p w14:paraId="5F195107" w14:textId="77777777" w:rsidR="009B11A5" w:rsidRPr="0068762B" w:rsidRDefault="009B11A5" w:rsidP="00624B86">
            <w:pPr>
              <w:rPr>
                <w:bCs/>
                <w:lang w:val="en-US"/>
              </w:rPr>
            </w:pPr>
            <w:r w:rsidRPr="0068762B">
              <w:rPr>
                <w:bCs/>
                <w:lang w:val="en-US"/>
              </w:rPr>
              <w:t>Self-report</w:t>
            </w:r>
          </w:p>
        </w:tc>
        <w:tc>
          <w:tcPr>
            <w:tcW w:w="660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tcPr>
          <w:p w14:paraId="69466750" w14:textId="77777777" w:rsidR="009B11A5" w:rsidRPr="002242B1" w:rsidRDefault="009B11A5" w:rsidP="00624B86">
            <w:pPr>
              <w:rPr>
                <w:lang w:val="en-CA"/>
              </w:rPr>
            </w:pPr>
            <w:r w:rsidRPr="00A37D43">
              <w:rPr>
                <w:lang w:val="en-CA"/>
              </w:rPr>
              <w:t>What is your marital status? Do you have children? How many, and what ages?</w:t>
            </w:r>
          </w:p>
        </w:tc>
      </w:tr>
      <w:tr w:rsidR="009B11A5" w:rsidRPr="00BB42EB" w14:paraId="0EAA97DD" w14:textId="77777777" w:rsidTr="0068762B">
        <w:trPr>
          <w:trHeight w:val="859"/>
        </w:trPr>
        <w:tc>
          <w:tcPr>
            <w:tcW w:w="1311" w:type="dxa"/>
            <w:vMerge/>
            <w:tcBorders>
              <w:left w:val="single" w:sz="8" w:space="0" w:color="A5A5A5"/>
              <w:right w:val="single" w:sz="8" w:space="0" w:color="A5A5A5"/>
            </w:tcBorders>
            <w:shd w:val="clear" w:color="auto" w:fill="auto"/>
            <w:tcMar>
              <w:top w:w="72" w:type="dxa"/>
              <w:left w:w="144" w:type="dxa"/>
              <w:bottom w:w="72" w:type="dxa"/>
              <w:right w:w="144" w:type="dxa"/>
            </w:tcMar>
          </w:tcPr>
          <w:p w14:paraId="1EE365BD" w14:textId="77777777" w:rsidR="009B11A5" w:rsidRPr="005216F9" w:rsidRDefault="009B11A5" w:rsidP="00624B86">
            <w:pPr>
              <w:rPr>
                <w:lang w:val="en-US"/>
              </w:rPr>
            </w:pPr>
          </w:p>
        </w:tc>
        <w:tc>
          <w:tcPr>
            <w:tcW w:w="660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hideMark/>
          </w:tcPr>
          <w:p w14:paraId="14C2C274" w14:textId="77777777" w:rsidR="009B11A5" w:rsidRPr="00B64A16" w:rsidRDefault="009B11A5" w:rsidP="00624B86">
            <w:pPr>
              <w:rPr>
                <w:lang w:val="en-CA"/>
              </w:rPr>
            </w:pPr>
            <w:r w:rsidRPr="002242B1">
              <w:rPr>
                <w:lang w:val="en-CA"/>
              </w:rPr>
              <w:t>How many years of formal education have you had?</w:t>
            </w:r>
            <w:r>
              <w:rPr>
                <w:lang w:val="en-CA"/>
              </w:rPr>
              <w:t xml:space="preserve"> (Include primary, secondary, and post-secondary.)</w:t>
            </w:r>
          </w:p>
        </w:tc>
      </w:tr>
      <w:tr w:rsidR="009B11A5" w:rsidRPr="00BB42EB" w14:paraId="11B9EFFE" w14:textId="77777777" w:rsidTr="0068762B">
        <w:trPr>
          <w:trHeight w:val="702"/>
        </w:trPr>
        <w:tc>
          <w:tcPr>
            <w:tcW w:w="0" w:type="auto"/>
            <w:vMerge/>
            <w:tcBorders>
              <w:left w:val="single" w:sz="8" w:space="0" w:color="A5A5A5"/>
              <w:bottom w:val="single" w:sz="8" w:space="0" w:color="A5A5A5"/>
              <w:right w:val="single" w:sz="8" w:space="0" w:color="A5A5A5"/>
            </w:tcBorders>
            <w:shd w:val="clear" w:color="auto" w:fill="auto"/>
            <w:vAlign w:val="center"/>
            <w:hideMark/>
          </w:tcPr>
          <w:p w14:paraId="4190A3D8" w14:textId="77777777" w:rsidR="009B11A5" w:rsidRPr="005216F9" w:rsidRDefault="009B11A5" w:rsidP="00624B86">
            <w:pPr>
              <w:rPr>
                <w:lang w:val="en-US"/>
              </w:rPr>
            </w:pPr>
          </w:p>
        </w:tc>
        <w:tc>
          <w:tcPr>
            <w:tcW w:w="660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hideMark/>
          </w:tcPr>
          <w:p w14:paraId="64EA75E6" w14:textId="77777777" w:rsidR="009B11A5" w:rsidRPr="00B64A16" w:rsidRDefault="009B11A5" w:rsidP="00624B86">
            <w:pPr>
              <w:rPr>
                <w:lang w:val="en-CA"/>
              </w:rPr>
            </w:pPr>
            <w:r w:rsidRPr="002242B1">
              <w:rPr>
                <w:lang w:val="en-CA"/>
              </w:rPr>
              <w:t xml:space="preserve">In which country </w:t>
            </w:r>
            <w:r>
              <w:rPr>
                <w:lang w:val="en-CA"/>
              </w:rPr>
              <w:t>did the majority of your education occur</w:t>
            </w:r>
            <w:r w:rsidRPr="002242B1">
              <w:rPr>
                <w:lang w:val="en-CA"/>
              </w:rPr>
              <w:t>?</w:t>
            </w:r>
          </w:p>
        </w:tc>
      </w:tr>
    </w:tbl>
    <w:p w14:paraId="2538AB48" w14:textId="77777777" w:rsidR="009B11A5" w:rsidRPr="00AC3A18" w:rsidRDefault="009B11A5" w:rsidP="009B11A5">
      <w:pPr>
        <w:rPr>
          <w:lang w:val="en-CA"/>
        </w:rPr>
      </w:pPr>
      <w:r w:rsidRPr="00575F1D">
        <w:rPr>
          <w:lang w:val="en-CA"/>
        </w:rPr>
        <w:lastRenderedPageBreak/>
        <w:t xml:space="preserve"> </w:t>
      </w:r>
      <w:r>
        <w:rPr>
          <w:lang w:val="en-CA"/>
        </w:rPr>
        <w:t xml:space="preserve"> </w:t>
      </w:r>
    </w:p>
    <w:p w14:paraId="0A0FB1FD" w14:textId="77777777" w:rsidR="009B11A5" w:rsidRPr="00EE6D8B" w:rsidRDefault="009B11A5"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QoL/handicap</w:t>
      </w:r>
    </w:p>
    <w:p w14:paraId="172BFFAB" w14:textId="50499EDA" w:rsidR="009B11A5" w:rsidRPr="00C9269C" w:rsidRDefault="009B11A5" w:rsidP="009B11A5">
      <w:pPr>
        <w:rPr>
          <w:lang w:val="en-CA"/>
        </w:rPr>
      </w:pPr>
      <w:r>
        <w:rPr>
          <w:lang w:val="en-CA"/>
        </w:rPr>
        <w:t xml:space="preserve">Measure QoL using the </w:t>
      </w:r>
      <w:r w:rsidRPr="00C9269C">
        <w:rPr>
          <w:lang w:val="en-CA"/>
        </w:rPr>
        <w:t xml:space="preserve">5Q-5D-5L questionnaire </w:t>
      </w:r>
      <w:r>
        <w:rPr>
          <w:lang w:val="en-CA"/>
        </w:rPr>
        <w:fldChar w:fldCharType="begin" w:fldLock="1"/>
      </w:r>
      <w:r w:rsidR="00F07B98">
        <w:rPr>
          <w:lang w:val="en-CA"/>
        </w:rPr>
        <w:instrText>ADDIN CSL_CITATION {"citationItems":[{"id":"ITEM-1","itemData":{"author":[{"dropping-particle":"","family":"Reenen","given":"Mandy","non-dropping-particle":"Van","parse-names":false,"suffix":""},{"dropping-particle":"","family":"Janssen","given":"Bas","non-dropping-particle":"","parse-names":false,"suffix":""}],"id":"ITEM-1","issued":{"date-parts":[["2015"]]},"title":"EQ-5D-5L User Guide Basic information on how to use the EQ-5D-5L instrument","type":"report"},"uris":["http://www.mendeley.com/documents/?uuid=e2c66bcf-d0a2-3560-9cba-8d948a320035"]}],"mendeley":{"formattedCitation":"(2)","plainTextFormattedCitation":"(2)","previouslyFormattedCitation":"(Van Reenen &amp; Janssen, 2015)"},"properties":{"noteIndex":0},"schema":"https://github.com/citation-style-language/schema/raw/master/csl-citation.json"}</w:instrText>
      </w:r>
      <w:r>
        <w:rPr>
          <w:lang w:val="en-CA"/>
        </w:rPr>
        <w:fldChar w:fldCharType="separate"/>
      </w:r>
      <w:r w:rsidR="00F07B98" w:rsidRPr="00F07B98">
        <w:rPr>
          <w:noProof/>
          <w:lang w:val="en-CA"/>
        </w:rPr>
        <w:t>(2)</w:t>
      </w:r>
      <w:r>
        <w:rPr>
          <w:lang w:val="en-CA"/>
        </w:rPr>
        <w:fldChar w:fldCharType="end"/>
      </w:r>
      <w:r>
        <w:rPr>
          <w:lang w:val="en-CA"/>
        </w:rPr>
        <w:t xml:space="preserve">, including </w:t>
      </w:r>
      <w:r w:rsidRPr="00C9269C">
        <w:rPr>
          <w:lang w:val="en-CA"/>
        </w:rPr>
        <w:t>6 items: 5 under the EQ-5D-5L and 1 under the EQ VAS.</w:t>
      </w:r>
    </w:p>
    <w:p w14:paraId="0DFC04E9" w14:textId="77777777" w:rsidR="009B11A5" w:rsidRPr="00EE6D8B" w:rsidRDefault="009B11A5"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Dietary Intake</w:t>
      </w:r>
    </w:p>
    <w:p w14:paraId="1855248E" w14:textId="5BD77A72" w:rsidR="009B11A5" w:rsidRDefault="009B11A5" w:rsidP="009B11A5">
      <w:pPr>
        <w:rPr>
          <w:lang w:val="en-CA"/>
        </w:rPr>
      </w:pPr>
      <w:r>
        <w:rPr>
          <w:lang w:val="en-CA"/>
        </w:rPr>
        <w:t xml:space="preserve">Measure dietary intake using the EPIC-Norfolk FFQ </w:t>
      </w:r>
      <w:r>
        <w:rPr>
          <w:lang w:val="en-CA"/>
        </w:rPr>
        <w:fldChar w:fldCharType="begin" w:fldLock="1"/>
      </w:r>
      <w:r w:rsidR="00F07B98">
        <w:rPr>
          <w:lang w:val="en-CA"/>
        </w:rPr>
        <w:instrText>ADDIN CSL_CITATION {"citationItems":[{"id":"ITEM-1","itemData":{"DOI":"10.1136/bmjopen-2013-004503","ISSN":"2044-6055","author":[{"dropping-particle":"","family":"Mulligan","given":"Angela A","non-dropping-particle":"","parse-names":false,"suffix":""},{"dropping-particle":"","family":"Luben","given":"Robert N","non-dropping-particle":"","parse-names":false,"suffix":""},{"dropping-particle":"","family":"Bhaniani","given":"Amit","non-dropping-particle":"","parse-names":false,"suffix":""},{"dropping-particle":"","family":"Parry-Smith","given":"David J","non-dropping-particle":"","parse-names":false,"suffix":""},{"dropping-particle":"","family":"O'Connor","given":"Laura","non-dropping-particle":"","parse-names":false,"suffix":""},{"dropping-particle":"","family":"Khawaja","given":"Anthony P","non-dropping-particle":"","parse-names":false,"suffix":""},{"dropping-particle":"","family":"Forouhi","given":"Nita G","non-dropping-particle":"","parse-names":false,"suffix":""},{"dropping-particle":"","family":"Khaw","given":"Kay-Tee","non-dropping-particle":"","parse-names":false,"suffix":""}],"container-title":"BMJ Open","id":"ITEM-1","issue":"3","issued":{"date-parts":[["2014","3"]]},"page":"e004503","title":"A new tool for converting food frequency questionnaire data into nutrient and food group values: FETA research methods and availability","type":"article-journal","volume":"4"},"uris":["http://www.mendeley.com/documents/?uuid=88d09312-59c4-36b5-ad7d-57ab1c65269c"]}],"mendeley":{"formattedCitation":"(3)","plainTextFormattedCitation":"(3)","previouslyFormattedCitation":"(Mulligan et al., 2014)"},"properties":{"noteIndex":0},"schema":"https://github.com/citation-style-language/schema/raw/master/csl-citation.json"}</w:instrText>
      </w:r>
      <w:r>
        <w:rPr>
          <w:lang w:val="en-CA"/>
        </w:rPr>
        <w:fldChar w:fldCharType="separate"/>
      </w:r>
      <w:r w:rsidR="00F07B98" w:rsidRPr="00F07B98">
        <w:rPr>
          <w:noProof/>
          <w:lang w:val="en-CA"/>
        </w:rPr>
        <w:t>(3)</w:t>
      </w:r>
      <w:r>
        <w:rPr>
          <w:lang w:val="en-CA"/>
        </w:rPr>
        <w:fldChar w:fldCharType="end"/>
      </w:r>
      <w:r>
        <w:rPr>
          <w:lang w:val="en-CA"/>
        </w:rPr>
        <w:t xml:space="preserve"> or region-specific validated FFQ.</w:t>
      </w:r>
    </w:p>
    <w:p w14:paraId="1568211F" w14:textId="141F89E5" w:rsidR="009B11A5" w:rsidRDefault="009B11A5" w:rsidP="009B11A5">
      <w:pPr>
        <w:rPr>
          <w:lang w:val="en-CA"/>
        </w:rPr>
      </w:pPr>
      <w:r>
        <w:rPr>
          <w:lang w:val="en-CA"/>
        </w:rPr>
        <w:t xml:space="preserve">Measure dietary quality using the Dutch Healthy Diet index </w:t>
      </w:r>
      <w:r>
        <w:rPr>
          <w:lang w:val="en-CA"/>
        </w:rPr>
        <w:fldChar w:fldCharType="begin" w:fldLock="1"/>
      </w:r>
      <w:r w:rsidR="00F07B98">
        <w:rPr>
          <w:lang w:val="en-CA"/>
        </w:rPr>
        <w:instrText>ADDIN CSL_CITATION {"citationItems":[{"id":"ITEM-1","itemData":{"DOI":"10.1186/1475-2891-11-49","ISSN":"1475-2891","abstract":"The objective was to develop an index based on the Dutch Guidelines for a healthy Diet of 2006 that reflects dietary quality and to apply it to the Dutch National Food Consumption Survey (DNFCS) to examine the associations with micronutrient intakes. A total of 749 men and women, aged 19–30 years, contributed two 24-hour recalls and additional questionnaires in the DNFCS of 2003. The Dutch Healthy Diet index (DHD-index) includes ten components representing the ten Dutch Guidelines for a Healthy Diet. Per component the score ranges between zero and ten, resulting in a total score between zero (no adherence) and 100 (complete adherence). The mean ± SD of the DHD-index was 60.4 ± 11.5 for women and 57.8 ± 10.8 for men (P for difference = 0.002). Each component score increased across the sex-specific quintiles of the DHD-index. An inverse association was observed between the sex-specific quintiles of the DHD-index and total energy intake. Calcium, riboflavin, and vitamin E intake decreased with increasing DHD-index, an inverse association which disappeared after energy adjustment. Vitamin C showed a positive association across quintiles, also when adjusted for energy. For folate, iron, magnesium, potassium, thiamin, and vitamin B6 a positive association emerged after adjustment for energy. The DHD-index is capable of ranking participants according to their adherence to the Dutch Guidelines for a Healthy Diet by reflecting variation in nine out of ten components that constitute the index when based on two 24-hour recalls. Furthermore, the index showed to be a good measure of nutrient density of diets.","author":[{"dropping-particle":"","family":"Lee","given":"Linde","non-dropping-particle":"van","parse-names":false,"suffix":""},{"dropping-particle":"","family":"Geelen","given":"Anouk","non-dropping-particle":"","parse-names":false,"suffix":""},{"dropping-particle":"","family":"Huysduynen","given":"Eveline J C Hooft","non-dropping-particle":"van","parse-names":false,"suffix":""},{"dropping-particle":"","family":"Vries","given":"Jeanne H M","non-dropping-particle":"de","parse-names":false,"suffix":""},{"dropping-particle":"","family":"van’t Veer","given":"Pieter","non-dropping-particle":"","parse-names":false,"suffix":""},{"dropping-particle":"","family":"Feskens","given":"Edith J M","non-dropping-particle":"","parse-names":false,"suffix":""}],"container-title":"Nutrition Journal","id":"ITEM-1","issue":"1","issued":{"date-parts":[["2012","12","20"]]},"page":"49","publisher":"BioMed Central","title":"The Dutch Healthy Diet index (DHD-index): an instrument to measure adherence to the Dutch Guidelines for a Healthy Diet","type":"article-journal","volume":"11"},"uris":["http://www.mendeley.com/documents/?uuid=6664b660-e4c8-3600-a331-bc4eb8741b37"]}],"mendeley":{"formattedCitation":"(4)","plainTextFormattedCitation":"(4)","previouslyFormattedCitation":"(van Lee et al., 2012)"},"properties":{"noteIndex":0},"schema":"https://github.com/citation-style-language/schema/raw/master/csl-citation.json"}</w:instrText>
      </w:r>
      <w:r>
        <w:rPr>
          <w:lang w:val="en-CA"/>
        </w:rPr>
        <w:fldChar w:fldCharType="separate"/>
      </w:r>
      <w:r w:rsidR="00F07B98" w:rsidRPr="00F07B98">
        <w:rPr>
          <w:noProof/>
          <w:lang w:val="en-CA"/>
        </w:rPr>
        <w:t>(4)</w:t>
      </w:r>
      <w:r>
        <w:rPr>
          <w:lang w:val="en-CA"/>
        </w:rPr>
        <w:fldChar w:fldCharType="end"/>
      </w:r>
      <w:r>
        <w:rPr>
          <w:lang w:val="en-CA"/>
        </w:rPr>
        <w:t xml:space="preserve"> or region-specific index.</w:t>
      </w:r>
    </w:p>
    <w:p w14:paraId="0EA953BC" w14:textId="6DF3651E" w:rsidR="00C309AC" w:rsidRDefault="00C309AC" w:rsidP="00C309AC">
      <w:pPr>
        <w:rPr>
          <w:rStyle w:val="Lienhypertexte"/>
          <w:lang w:val="en-CA"/>
        </w:rPr>
      </w:pPr>
      <w:r>
        <w:rPr>
          <w:lang w:val="en-CA"/>
        </w:rPr>
        <w:t xml:space="preserve">Measure emotional eating using the Emotional Subscale of Dutch Eating Behavior Questionnaire </w:t>
      </w:r>
      <w:r>
        <w:rPr>
          <w:lang w:val="en-CA"/>
        </w:rPr>
        <w:fldChar w:fldCharType="begin" w:fldLock="1"/>
      </w:r>
      <w:r w:rsidR="00F07B98">
        <w:rPr>
          <w:lang w:val="en-CA"/>
        </w:rPr>
        <w:instrText>ADDIN CSL_CITATION {"citationItems":[{"id":"ITEM-1","itemData":{"URL":"https://eprovide.mapi-trust.org/instruments/dutch-eating-behavior-questionnaire","accessed":{"date-parts":[["2019","3","27"]]},"id":"ITEM-1","issued":{"date-parts":[["0"]]},"title":"DEBQ - Dutch Eating Behavior Questionnaire","type":"webpage"},"uris":["http://www.mendeley.com/documents/?uuid=652500dc-a6af-36f7-bbaa-f07c672d940f"]}],"mendeley":{"formattedCitation":"(5)","plainTextFormattedCitation":"(5)","previouslyFormattedCitation":"(“DEBQ - Dutch Eating Behavior Questionnaire,” n.d.)"},"properties":{"noteIndex":0},"schema":"https://github.com/citation-style-language/schema/raw/master/csl-citation.json"}</w:instrText>
      </w:r>
      <w:r>
        <w:rPr>
          <w:lang w:val="en-CA"/>
        </w:rPr>
        <w:fldChar w:fldCharType="separate"/>
      </w:r>
      <w:r w:rsidR="00F07B98" w:rsidRPr="00F07B98">
        <w:rPr>
          <w:noProof/>
          <w:lang w:val="en-CA"/>
        </w:rPr>
        <w:t>(5)</w:t>
      </w:r>
      <w:r>
        <w:rPr>
          <w:lang w:val="en-CA"/>
        </w:rPr>
        <w:fldChar w:fldCharType="end"/>
      </w:r>
      <w:r>
        <w:rPr>
          <w:rStyle w:val="Lienhypertexte"/>
          <w:lang w:val="en-CA"/>
        </w:rPr>
        <w:t xml:space="preserve"> </w:t>
      </w:r>
    </w:p>
    <w:p w14:paraId="56CB6B51" w14:textId="77777777" w:rsidR="009B11A5" w:rsidRPr="00EE6D8B" w:rsidRDefault="009B11A5"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Physical activity and sedentary behaviour</w:t>
      </w:r>
    </w:p>
    <w:p w14:paraId="54E0E016" w14:textId="77777777" w:rsidR="009B11A5" w:rsidRPr="009467DE" w:rsidRDefault="009B11A5" w:rsidP="009B11A5">
      <w:pPr>
        <w:rPr>
          <w:i/>
          <w:lang w:val="en-CA"/>
        </w:rPr>
      </w:pPr>
      <w:r w:rsidRPr="009467DE">
        <w:rPr>
          <w:i/>
          <w:lang w:val="en-CA"/>
        </w:rPr>
        <w:t>Physical activity</w:t>
      </w:r>
    </w:p>
    <w:p w14:paraId="520187C7" w14:textId="323BFC74" w:rsidR="009B11A5" w:rsidRPr="00776B70" w:rsidRDefault="009B11A5" w:rsidP="009B11A5">
      <w:pPr>
        <w:rPr>
          <w:lang w:val="en-CA"/>
        </w:rPr>
      </w:pPr>
      <w:r>
        <w:rPr>
          <w:lang w:val="en-CA"/>
        </w:rPr>
        <w:t xml:space="preserve">Measure vigorous, moderate, and light PA: tri-axial </w:t>
      </w:r>
      <w:r w:rsidRPr="00776B70">
        <w:rPr>
          <w:lang w:val="en-CA"/>
        </w:rPr>
        <w:t>accelerometer</w:t>
      </w:r>
      <w:r>
        <w:rPr>
          <w:lang w:val="en-CA"/>
        </w:rPr>
        <w:t xml:space="preserve"> (e.g., </w:t>
      </w:r>
      <w:r w:rsidRPr="00776B70">
        <w:rPr>
          <w:lang w:val="en-CA"/>
        </w:rPr>
        <w:t>Actigraph wGT3X</w:t>
      </w:r>
      <w:r>
        <w:rPr>
          <w:lang w:val="en-CA"/>
        </w:rPr>
        <w:t xml:space="preserve">) placed on hip; worn continuously for one week </w:t>
      </w:r>
      <w:r w:rsidRPr="00776B70">
        <w:rPr>
          <w:lang w:val="en-CA"/>
        </w:rPr>
        <w:t>(or equivalent 4 days, 3 days week + 1 weekend day)</w:t>
      </w:r>
      <w:r>
        <w:rPr>
          <w:lang w:val="en-CA"/>
        </w:rPr>
        <w:t xml:space="preserve">; generate raw data </w:t>
      </w:r>
      <w:r>
        <w:rPr>
          <w:lang w:val="en-CA"/>
        </w:rPr>
        <w:fldChar w:fldCharType="begin" w:fldLock="1"/>
      </w:r>
      <w:r w:rsidR="00F07B98">
        <w:rPr>
          <w:lang w:val="en-CA"/>
        </w:rPr>
        <w:instrText>ADDIN CSL_CITATION {"citationItems":[{"id":"ITEM-1","itemData":{"ISSN":"0195-9131","PMID":"11445774","abstract":"PURPOSE The purpose of this study was to compare different methods of measuring physical activity (PA) in women by the doubly labeled water method (DLW). METHODS Thirteen subjects participated in a 7-d protocol during which total daily energy expenditure (TDEE) was measured with DLW. Body composition, basal metabolic rate (BMR), and peak oxygen consumption were also measured. Physical activity-related energy expenditure (PAEE) was then calculated by subtracting measured BMR and the estimated thermic effect of food from TDEE. Simultaneously, over the 7 d, PA was assessed via a 7-d Physical Activity Recall questionnaire (PAR), and subjects wore secured at the waist, a Tritrac-R3D (Madison, WI), a Computer Science Application Inc. activity monitor (CSA; Shalimar, FL), and a Yamax Digi Walker-500 (Tokyo, Japan). Pearson-product moment correlations were calculated to determine the relationships among the different methods for estimating PAEE. Paired t-tests with appropriate adjustments were used to compare the different methods with DLW-PAEE. RESULTS There was no significant difference between PAEE determined from PAR and DLW. The differences between the two methods ranged from -633 to 280 kcal.d(-1). Compared with DLW, PAEE determined from CSA, Tritrac, and Yamax was significantly underestimated by 59% (-495 kcal.d(-1)), 35% (-320 kcal.d(-1)) and 59% (-497 kcal.d(-1)), respectively. VO2peak explained 43% of the variation in DLW-PAEE. CONCLUSION Although the group average for PAR-PAEE agreed with DLW-PAEE, there were differences in the methods among the subjects. PAEE determined by Tritrac, CSA, and Yamax significantly underestimate free-living PAEE in women.","author":[{"dropping-particle":"","family":"Leenders","given":"N Y","non-dropping-particle":"","parse-names":false,"suffix":""},{"dropping-particle":"","family":"Sherman","given":"W M","non-dropping-particle":"","parse-names":false,"suffix":""},{"dropping-particle":"","family":"Nagaraja","given":"H N","non-dropping-particle":"","parse-names":false,"suffix":""},{"dropping-particle":"","family":"Kien","given":"C L","non-dropping-particle":"","parse-names":false,"suffix":""}],"container-title":"Medicine and science in sports and exercise","id":"ITEM-1","issue":"7","issued":{"date-parts":[["2001","7"]]},"page":"1233-40","title":"Evaluation of methods to assess physical activity in free-living conditions.","type":"article-journal","volume":"33"},"uris":["http://www.mendeley.com/documents/?uuid=6b78ec7d-ea7a-3d7c-ac00-70a7c9eb65c5"]},{"id":"ITEM-2","itemData":{"DOI":"10.1249/MSS.0000000000001124","ISSN":"1530-0315","PMID":"27755355","abstract":"PURPOSE This study aimed to compare physical activity estimates across different accelerometer wear locations, wear time protocols, and data processing techniques. METHODS A convenience sample of middle-age to older women wore a GT3X+ accelerometer at the wrist and hip for 7 d. Physical activity estimates were calculated using three data processing techniques: single-axis cut points, raw vector magnitude thresholds, and machine learning algorithms applied to the raw data from the three axes. Daily estimates were compared for the 321 women using generalized estimating equations. RESULTS A total of 1420 d were analyzed. Compliance rates for the hip versus wrist location only varied by 2.7%. All differences between techniques, wear locations, and wear time protocols were statistically different (P &lt; 0.05). Mean minutes per day in physical activity varied from 22 to 67 depending on location and method. On the hip, the 1952-count cut point found at least 150 min·wk of physical activity in 22% of participants, raw vector magnitude found 32%, and the machine-learned algorithm found 74% of participants with 150 min of walking/running per week. The wrist algorithms found 59% and 60% of participants with 150 min of physical activity per week using the raw vector magnitude and machine-learned techniques, respectively. When the wrist device was worn overnight, up to 4% more participants met guidelines. CONCLUSION Estimates varied by 52% across techniques and by as much as 41% across wear locations. Findings suggest that researchers should be cautious when comparing physical activity estimates from different studies. Efforts to standardize accelerometry-based estimates of physical activity are needed. A first step might be to report on multiple procedures until a consensus is achieved.","author":[{"dropping-particle":"","family":"Kerr","given":"Jacqueline","non-dropping-particle":"","parse-names":false,"suffix":""},{"dropping-particle":"","family":"Marinac","given":"Catherine R","non-dropping-particle":"","parse-names":false,"suffix":""},{"dropping-particle":"","family":"Ellis","given":"Katherine","non-dropping-particle":"","parse-names":false,"suffix":""},{"dropping-particle":"","family":"Godbole","given":"Suneeta","non-dropping-particle":"","parse-names":false,"suffix":""},{"dropping-particle":"","family":"Hipp","given":"Aaron","non-dropping-particle":"","parse-names":false,"suffix":""},{"dropping-particle":"","family":"Glanz","given":"Karen","non-dropping-particle":"","parse-names":false,"suffix":""},{"dropping-particle":"","family":"Mitchell","given":"Jonathan","non-dropping-particle":"","parse-names":false,"suffix":""},{"dropping-particle":"","family":"Laden","given":"Francine","non-dropping-particle":"","parse-names":false,"suffix":""},{"dropping-particle":"","family":"James","given":"Peter","non-dropping-particle":"","parse-names":false,"suffix":""},{"dropping-particle":"","family":"Berrigan","given":"David","non-dropping-particle":"","parse-names":false,"suffix":""}],"container-title":"Medicine and science in sports and exercise","id":"ITEM-2","issue":"3","issued":{"date-parts":[["2017"]]},"page":"617-624","publisher":"NIH Public Access","title":"Comparison of Accelerometry Methods for Estimating Physical Activity.","type":"article-journal","volume":"49"},"uris":["http://www.mendeley.com/documents/?uuid=512fef7b-daf5-32a0-82ac-42a016d3e186"]}],"mendeley":{"formattedCitation":"(6,7)","plainTextFormattedCitation":"(6,7)","previouslyFormattedCitation":"(Kerr et al., 2017; Leenders, Sherman, Nagaraja, &amp; Kien, 2001)"},"properties":{"noteIndex":0},"schema":"https://github.com/citation-style-language/schema/raw/master/csl-citation.json"}</w:instrText>
      </w:r>
      <w:r>
        <w:rPr>
          <w:lang w:val="en-CA"/>
        </w:rPr>
        <w:fldChar w:fldCharType="separate"/>
      </w:r>
      <w:r w:rsidR="00F07B98" w:rsidRPr="00F07B98">
        <w:rPr>
          <w:noProof/>
          <w:lang w:val="en-CA"/>
        </w:rPr>
        <w:t>(6,7)</w:t>
      </w:r>
      <w:r>
        <w:rPr>
          <w:lang w:val="en-CA"/>
        </w:rPr>
        <w:fldChar w:fldCharType="end"/>
      </w:r>
      <w:r>
        <w:rPr>
          <w:lang w:val="en-CA"/>
        </w:rPr>
        <w:t>.</w:t>
      </w:r>
    </w:p>
    <w:p w14:paraId="1FC2CAB1" w14:textId="6911793A" w:rsidR="009B11A5" w:rsidRPr="00776B70" w:rsidRDefault="009B11A5" w:rsidP="009B11A5">
      <w:pPr>
        <w:rPr>
          <w:lang w:val="en-CA"/>
        </w:rPr>
      </w:pPr>
      <w:r>
        <w:rPr>
          <w:lang w:val="en-CA"/>
        </w:rPr>
        <w:t>Measure c</w:t>
      </w:r>
      <w:r w:rsidRPr="002777CD">
        <w:rPr>
          <w:lang w:val="en-CA"/>
        </w:rPr>
        <w:t>ontext and recent history</w:t>
      </w:r>
      <w:r>
        <w:rPr>
          <w:lang w:val="en-CA"/>
        </w:rPr>
        <w:t xml:space="preserve"> </w:t>
      </w:r>
      <w:r w:rsidRPr="002777CD">
        <w:rPr>
          <w:lang w:val="en-CA"/>
        </w:rPr>
        <w:t>of vigorous, moderate</w:t>
      </w:r>
      <w:r>
        <w:rPr>
          <w:lang w:val="en-CA"/>
        </w:rPr>
        <w:t>,</w:t>
      </w:r>
      <w:r w:rsidRPr="002777CD">
        <w:rPr>
          <w:lang w:val="en-CA"/>
        </w:rPr>
        <w:t xml:space="preserve"> and</w:t>
      </w:r>
      <w:r>
        <w:rPr>
          <w:lang w:val="en-CA"/>
        </w:rPr>
        <w:t xml:space="preserve"> </w:t>
      </w:r>
      <w:r w:rsidRPr="002777CD">
        <w:rPr>
          <w:lang w:val="en-CA"/>
        </w:rPr>
        <w:t>light PA (self-reported)</w:t>
      </w:r>
      <w:r>
        <w:rPr>
          <w:lang w:val="en-CA"/>
        </w:rPr>
        <w:t xml:space="preserve">: </w:t>
      </w:r>
      <w:r w:rsidRPr="00776B70">
        <w:rPr>
          <w:lang w:val="en-CA"/>
        </w:rPr>
        <w:t>Paffenbarger P</w:t>
      </w:r>
      <w:r>
        <w:rPr>
          <w:lang w:val="en-CA"/>
        </w:rPr>
        <w:t>hysical Activity</w:t>
      </w:r>
      <w:r w:rsidRPr="00776B70">
        <w:rPr>
          <w:lang w:val="en-CA"/>
        </w:rPr>
        <w:t xml:space="preserve"> Questionnaire</w:t>
      </w:r>
      <w:r>
        <w:rPr>
          <w:lang w:val="en-CA"/>
        </w:rPr>
        <w:t xml:space="preserve"> </w:t>
      </w:r>
      <w:r>
        <w:rPr>
          <w:lang w:val="en-CA"/>
        </w:rPr>
        <w:fldChar w:fldCharType="begin" w:fldLock="1"/>
      </w:r>
      <w:r w:rsidR="00F07B98">
        <w:rPr>
          <w:lang w:val="en-CA"/>
        </w:rPr>
        <w:instrText>ADDIN CSL_CITATION {"citationItems":[{"id":"ITEM-1","itemData":{"DOI":"10.1249/00005768-199301000-00011","ISSN":"0195-9131","PMID":"8292105","abstract":"A coding scheme is presented for classifying physical activity by rate of energy expenditure, i.e., by intensity. Energy cost was established by a review of published and unpublished data. This coding scheme employs five digits that classify activity by purpose (i.e., sports, occupation, self-care), the specific type of activity, and its intensity as the ratio of work metabolic rate to resting metabolic rate (METs). Energy expenditure in kilocalories or kilocalories per kilogram body weight can be estimated for all activities, specific activities, or activity types. General use of this coding system would enhance the comparability of results across studies using self reports of physical activity.","author":[{"dropping-particle":"","family":"Ainsworth","given":"B E","non-dropping-particle":"","parse-names":false,"suffix":""},{"dropping-particle":"","family":"Haskell","given":"W L","non-dropping-particle":"","parse-names":false,"suffix":""},{"dropping-particle":"","family":"Leon","given":"A S","non-dropping-particle":"","parse-names":false,"suffix":""},{"dropping-particle":"","family":"Jacobs","given":"D R","non-dropping-particle":"","parse-names":false,"suffix":""},{"dropping-particle":"","family":"Montoye","given":"H J","non-dropping-particle":"","parse-names":false,"suffix":""},{"dropping-particle":"","family":"Sallis","given":"J F","non-dropping-particle":"","parse-names":false,"suffix":""},{"dropping-particle":"","family":"Paffenbarger","given":"R S","non-dropping-particle":"","parse-names":false,"suffix":""}],"container-title":"Medicine and science in sports and exercise","id":"ITEM-1","issue":"1","issued":{"date-parts":[["1993","1"]]},"page":"71-80","publisher":"Lippincott Williams and Wilkins","title":"Compendium of physical activities: classification of energy costs of human physical activities.","type":"article-journal","volume":"25"},"uris":["http://www.mendeley.com/documents/?uuid=505feb80-5878-3ab6-b5d5-364e5677f405"]},{"id":"ITEM-2","itemData":{"ISSN":"0195-9131","PMID":"8423758","abstract":"For physical activity surveys that would identify relations to chronic diseases, quality of life, and longevity, the method of choice remains the questionnaire, especially if it can be standardized and administered in uniform fashion to large populations. A sample questionnaire derived largely from epidemiological experience with the Harvard Alumni Health Study is presented that requests anthropometric estimates; physician-diagnosed diseases by year of onset; contemporary physical activities including walking, stair-climbing, and recreational pursuits; food-frequency data that estimate nutrient values and caloric intakes; and social habits affecting health. The questionnaire presents opportunities for cross-sectional, retrospective, and prospective studies. Personal characteristics, physical activities, and other elements of lifestyle may be used as predictor or outcome variables in testing specific hypotheses. Representative surveys are described that have validated and used questionnaires of various complexities, some complemented by measures of physiological fitness. The epidemiological survey questionnaire, when properly designed and administered, can measure effectively energy intake, energy retention, energy expenditure, physiological fitness, quality of life, and health maintenance.","author":[{"dropping-particle":"","family":"Paffenbarger","given":"R S","non-dropping-particle":"","parse-names":false,"suffix":""},{"dropping-particle":"","family":"Blair","given":"S N","non-dropping-particle":"","parse-names":false,"suffix":""},{"dropping-particle":"","family":"Lee","given":"I M","non-dropping-particle":"","parse-names":false,"suffix":""},{"dropping-particle":"","family":"Hyde","given":"R T","non-dropping-particle":"","parse-names":false,"suffix":""}],"container-title":"Medicine and science in sports and exercise","id":"ITEM-2","issue":"1","issued":{"date-parts":[["1993","1"]]},"page":"60-70","title":"Measurement of physical activity to assess health effects in free-living populations.","type":"article-journal","volume":"25"},"uris":["http://www.mendeley.com/documents/?uuid=179843ea-c16d-3669-996a-113f5f7b32f0"]}],"mendeley":{"formattedCitation":"(8,9)","plainTextFormattedCitation":"(8,9)","previouslyFormattedCitation":"(Ainsworth et al., 1993; Paffenbarger, Blair, Lee, &amp; Hyde, 1993)"},"properties":{"noteIndex":0},"schema":"https://github.com/citation-style-language/schema/raw/master/csl-citation.json"}</w:instrText>
      </w:r>
      <w:r>
        <w:rPr>
          <w:lang w:val="en-CA"/>
        </w:rPr>
        <w:fldChar w:fldCharType="separate"/>
      </w:r>
      <w:r w:rsidR="00F07B98" w:rsidRPr="00F07B98">
        <w:rPr>
          <w:noProof/>
          <w:lang w:val="en-CA"/>
        </w:rPr>
        <w:t>(8,9)</w:t>
      </w:r>
      <w:r>
        <w:rPr>
          <w:lang w:val="en-CA"/>
        </w:rPr>
        <w:fldChar w:fldCharType="end"/>
      </w:r>
      <w:r>
        <w:rPr>
          <w:lang w:val="en-CA"/>
        </w:rPr>
        <w:t>.</w:t>
      </w:r>
    </w:p>
    <w:p w14:paraId="0EE6A346" w14:textId="77777777" w:rsidR="009B11A5" w:rsidRPr="009467DE" w:rsidRDefault="009B11A5" w:rsidP="009B11A5">
      <w:pPr>
        <w:rPr>
          <w:i/>
          <w:lang w:val="en-CA"/>
        </w:rPr>
      </w:pPr>
      <w:r w:rsidRPr="009467DE">
        <w:rPr>
          <w:i/>
          <w:lang w:val="en-CA"/>
        </w:rPr>
        <w:t>Sedentary behaviour</w:t>
      </w:r>
    </w:p>
    <w:p w14:paraId="41126608" w14:textId="4BC4FD31" w:rsidR="009B11A5" w:rsidRPr="00776B70" w:rsidRDefault="009B11A5" w:rsidP="009B11A5">
      <w:pPr>
        <w:rPr>
          <w:lang w:val="en-CA"/>
        </w:rPr>
      </w:pPr>
      <w:r>
        <w:rPr>
          <w:lang w:val="en-CA"/>
        </w:rPr>
        <w:t>Measure w</w:t>
      </w:r>
      <w:r w:rsidRPr="002777CD">
        <w:rPr>
          <w:lang w:val="en-CA"/>
        </w:rPr>
        <w:t>eek day time in SB</w:t>
      </w:r>
      <w:r>
        <w:rPr>
          <w:lang w:val="en-CA"/>
        </w:rPr>
        <w:t xml:space="preserve"> </w:t>
      </w:r>
      <w:r w:rsidRPr="002777CD">
        <w:rPr>
          <w:lang w:val="en-CA"/>
        </w:rPr>
        <w:t>(less than 100 counts per</w:t>
      </w:r>
      <w:r>
        <w:rPr>
          <w:lang w:val="en-CA"/>
        </w:rPr>
        <w:t xml:space="preserve"> </w:t>
      </w:r>
      <w:r w:rsidRPr="002777CD">
        <w:rPr>
          <w:lang w:val="en-CA"/>
        </w:rPr>
        <w:t>minute)</w:t>
      </w:r>
      <w:r>
        <w:rPr>
          <w:lang w:val="en-CA"/>
        </w:rPr>
        <w:t>; w</w:t>
      </w:r>
      <w:r w:rsidRPr="002777CD">
        <w:rPr>
          <w:lang w:val="en-CA"/>
        </w:rPr>
        <w:t>eekend day time in</w:t>
      </w:r>
      <w:r>
        <w:rPr>
          <w:lang w:val="en-CA"/>
        </w:rPr>
        <w:t xml:space="preserve"> </w:t>
      </w:r>
      <w:r w:rsidRPr="002777CD">
        <w:rPr>
          <w:lang w:val="en-CA"/>
        </w:rPr>
        <w:t>SB</w:t>
      </w:r>
      <w:r>
        <w:rPr>
          <w:lang w:val="en-CA"/>
        </w:rPr>
        <w:t xml:space="preserve">: tri-axial </w:t>
      </w:r>
      <w:r w:rsidRPr="00776B70">
        <w:rPr>
          <w:lang w:val="en-CA"/>
        </w:rPr>
        <w:t>accelerometer</w:t>
      </w:r>
      <w:r>
        <w:rPr>
          <w:lang w:val="en-CA"/>
        </w:rPr>
        <w:t xml:space="preserve"> (e.g., </w:t>
      </w:r>
      <w:r w:rsidRPr="00776B70">
        <w:rPr>
          <w:lang w:val="en-CA"/>
        </w:rPr>
        <w:t>Actigraph wGT3X</w:t>
      </w:r>
      <w:r>
        <w:rPr>
          <w:lang w:val="en-CA"/>
        </w:rPr>
        <w:t xml:space="preserve">) placed on </w:t>
      </w:r>
      <w:r w:rsidR="00870F18">
        <w:rPr>
          <w:lang w:val="en-CA"/>
        </w:rPr>
        <w:t xml:space="preserve">the </w:t>
      </w:r>
      <w:r>
        <w:rPr>
          <w:lang w:val="en-CA"/>
        </w:rPr>
        <w:t xml:space="preserve">hip; worn continuously for one week </w:t>
      </w:r>
      <w:r w:rsidRPr="00776B70">
        <w:rPr>
          <w:lang w:val="en-CA"/>
        </w:rPr>
        <w:t>(or equivalent 4 days</w:t>
      </w:r>
      <w:r w:rsidR="00870F18">
        <w:rPr>
          <w:lang w:val="en-CA"/>
        </w:rPr>
        <w:t xml:space="preserve">: </w:t>
      </w:r>
      <w:r w:rsidRPr="00776B70">
        <w:rPr>
          <w:lang w:val="en-CA"/>
        </w:rPr>
        <w:t xml:space="preserve">3 </w:t>
      </w:r>
      <w:r w:rsidR="00870F18">
        <w:rPr>
          <w:lang w:val="en-CA"/>
        </w:rPr>
        <w:t>week</w:t>
      </w:r>
      <w:r w:rsidRPr="00776B70">
        <w:rPr>
          <w:lang w:val="en-CA"/>
        </w:rPr>
        <w:t>days + 1 weekend day)</w:t>
      </w:r>
      <w:r>
        <w:rPr>
          <w:lang w:val="en-CA"/>
        </w:rPr>
        <w:t xml:space="preserve">; generate raw data </w:t>
      </w:r>
      <w:r>
        <w:rPr>
          <w:lang w:val="en-CA"/>
        </w:rPr>
        <w:fldChar w:fldCharType="begin" w:fldLock="1"/>
      </w:r>
      <w:r w:rsidR="00F07B98">
        <w:rPr>
          <w:lang w:val="en-CA"/>
        </w:rPr>
        <w:instrText>ADDIN CSL_CITATION {"citationItems":[{"id":"ITEM-1","itemData":{"ISSN":"0195-9131","PMID":"11445774","abstract":"PURPOSE The purpose of this study was to compare different methods of measuring physical activity (PA) in women by the doubly labeled water method (DLW). METHODS Thirteen subjects participated in a 7-d protocol during which total daily energy expenditure (TDEE) was measured with DLW. Body composition, basal metabolic rate (BMR), and peak oxygen consumption were also measured. Physical activity-related energy expenditure (PAEE) was then calculated by subtracting measured BMR and the estimated thermic effect of food from TDEE. Simultaneously, over the 7 d, PA was assessed via a 7-d Physical Activity Recall questionnaire (PAR), and subjects wore secured at the waist, a Tritrac-R3D (Madison, WI), a Computer Science Application Inc. activity monitor (CSA; Shalimar, FL), and a Yamax Digi Walker-500 (Tokyo, Japan). Pearson-product moment correlations were calculated to determine the relationships among the different methods for estimating PAEE. Paired t-tests with appropriate adjustments were used to compare the different methods with DLW-PAEE. RESULTS There was no significant difference between PAEE determined from PAR and DLW. The differences between the two methods ranged from -633 to 280 kcal.d(-1). Compared with DLW, PAEE determined from CSA, Tritrac, and Yamax was significantly underestimated by 59% (-495 kcal.d(-1)), 35% (-320 kcal.d(-1)) and 59% (-497 kcal.d(-1)), respectively. VO2peak explained 43% of the variation in DLW-PAEE. CONCLUSION Although the group average for PAR-PAEE agreed with DLW-PAEE, there were differences in the methods among the subjects. PAEE determined by Tritrac, CSA, and Yamax significantly underestimate free-living PAEE in women.","author":[{"dropping-particle":"","family":"Leenders","given":"N Y","non-dropping-particle":"","parse-names":false,"suffix":""},{"dropping-particle":"","family":"Sherman","given":"W M","non-dropping-particle":"","parse-names":false,"suffix":""},{"dropping-particle":"","family":"Nagaraja","given":"H N","non-dropping-particle":"","parse-names":false,"suffix":""},{"dropping-particle":"","family":"Kien","given":"C L","non-dropping-particle":"","parse-names":false,"suffix":""}],"container-title":"Medicine and science in sports and exercise","id":"ITEM-1","issue":"7","issued":{"date-parts":[["2001","7"]]},"page":"1233-40","title":"Evaluation of methods to assess physical activity in free-living conditions.","type":"article-journal","volume":"33"},"uris":["http://www.mendeley.com/documents/?uuid=6b78ec7d-ea7a-3d7c-ac00-70a7c9eb65c5"]},{"id":"ITEM-2","itemData":{"DOI":"10.1249/MSS.0000000000001299","ISSN":"0195-9131","PMID":"28419028","abstract":"PURPOSE To compare the degree to which four accelerometer metrics-total activity counts per day (TAC per day), steps per day (steps per day), physical activity energy expenditure (PAEE) (kcal·kg·d), and moderate- to vigorous-intensity physical activity (MVPA) (min·d)-were correlated with PAEE measured by doubly labeled water (DLW). Additionally, accelerometer metrics based on vertical axis counts and triaxial counts were compared. METHODS This analysis included 684 women and 611 men age 43 to 83 yr. Participants wore the Actigraph GT3X on the hip for 7 d twice during the study and the average of the two measurements was used. Each participant also completed one DLW measurement, with a subset having a repeat. PAEE was estimated by subtracting resting metabolic rate and the thermic effect of food from total daily energy expenditure estimated by DLW. Partial Spearman correlations were used to estimate associations between PAEE and each accelerometer metric. RESULTS Correlations between the accelerometer metrics and DLW-determined PAEE were higher for triaxial counts than vertical axis counts. After adjusting for weight, age, accelerometer wear time, and fat free mass, the correlation between TAC per day based on triaxial counts and DLW-determined PAEE was 0.44 in women and 0.41 in men. Correlations for steps per day and accelerometer-estimated PAEE with DLW-determined PAEE were similar. After adjustment for within-person variation in DLW-determined PAEE, the correlations for TAC per day increased to 0.61 and 0.49, respectively. Correlations between MVPA and DLW-determined PAEE were lower, particularly for modified bouts of ≥10 min. CONCLUSIONS Accelerometer measures that represent total activity volume, including TAC per day, steps per day, and PAEE, were more highly correlated with DLW-determined PAEE than MVPA using traditional thresholds and should be considered by researchers seeking to reduce accelerometer data to a single metric.","author":[{"dropping-particle":"","family":"Chomistek","given":"ANDREA K.","non-dropping-particle":"","parse-names":false,"suffix":""},{"dropping-particle":"","family":"Yuan","given":"CHANGZHENG","non-dropping-particle":"","parse-names":false,"suffix":""},{"dropping-particle":"","family":"Matthews","given":"CHARLES E.","non-dropping-particle":"","parse-names":false,"suffix":""},{"dropping-particle":"","family":"Troiano","given":"RICHARD P.","non-dropping-particle":"","parse-names":false,"suffix":""},{"dropping-particle":"","family":"Bowles","given":"HEATHER R.","non-dropping-particle":"","parse-names":false,"suffix":""},{"dropping-particle":"","family":"Rood","given":"JENNIFER","non-dropping-particle":"","parse-names":false,"suffix":""},{"dropping-particle":"","family":"Barnett","given":"JUNAIDAH B.","non-dropping-particle":"","parse-names":false,"suffix":""},{"dropping-particle":"","family":"Willett","given":"WALTER C.","non-dropping-particle":"","parse-names":false,"suffix":""},{"dropping-particle":"","family":"Rimm","given":"ERIC B.","non-dropping-particle":"","parse-names":false,"suffix":""},{"dropping-particle":"","family":"Bassett","given":"DAVID R.","non-dropping-particle":"","parse-names":false,"suffix":""}],"container-title":"Medicine &amp; Science in Sports &amp; Exercise","id":"ITEM-2","issue":"9","issued":{"date-parts":[["2017","9"]]},"page":"1935-1944","title":"Physical Activity Assessment with the ActiGraph GT3X and Doubly Labeled Water","type":"article-journal","volume":"49"},"uris":["http://www.mendeley.com/documents/?uuid=8f90635f-e65f-3ef2-8cd8-5c315ee93373"]}],"mendeley":{"formattedCitation":"(6,10)","plainTextFormattedCitation":"(6,10)","previouslyFormattedCitation":"(Chomistek et al., 2017; Leenders et al., 2001)"},"properties":{"noteIndex":0},"schema":"https://github.com/citation-style-language/schema/raw/master/csl-citation.json"}</w:instrText>
      </w:r>
      <w:r>
        <w:rPr>
          <w:lang w:val="en-CA"/>
        </w:rPr>
        <w:fldChar w:fldCharType="separate"/>
      </w:r>
      <w:r w:rsidR="00F07B98" w:rsidRPr="00F07B98">
        <w:rPr>
          <w:noProof/>
          <w:lang w:val="en-CA"/>
        </w:rPr>
        <w:t>(6,10)</w:t>
      </w:r>
      <w:r>
        <w:rPr>
          <w:lang w:val="en-CA"/>
        </w:rPr>
        <w:fldChar w:fldCharType="end"/>
      </w:r>
      <w:r>
        <w:rPr>
          <w:lang w:val="en-CA"/>
        </w:rPr>
        <w:t>.</w:t>
      </w:r>
    </w:p>
    <w:p w14:paraId="79E1242F" w14:textId="5F32261A" w:rsidR="009B11A5" w:rsidRDefault="009B11A5" w:rsidP="009B11A5">
      <w:pPr>
        <w:rPr>
          <w:lang w:val="en-CA"/>
        </w:rPr>
      </w:pPr>
      <w:r>
        <w:rPr>
          <w:lang w:val="en-CA"/>
        </w:rPr>
        <w:t xml:space="preserve">In the expanded set, measure sitting time and small-screen recreation time </w:t>
      </w:r>
      <w:r w:rsidR="00870F18">
        <w:rPr>
          <w:lang w:val="en-CA"/>
        </w:rPr>
        <w:t>i</w:t>
      </w:r>
      <w:r>
        <w:rPr>
          <w:lang w:val="en-CA"/>
        </w:rPr>
        <w:t xml:space="preserve">n </w:t>
      </w:r>
      <w:r w:rsidR="00870F18">
        <w:rPr>
          <w:lang w:val="en-CA"/>
        </w:rPr>
        <w:t xml:space="preserve">a </w:t>
      </w:r>
      <w:r>
        <w:rPr>
          <w:lang w:val="en-CA"/>
        </w:rPr>
        <w:t>habitual week</w:t>
      </w:r>
      <w:r w:rsidR="00870F18">
        <w:rPr>
          <w:lang w:val="en-CA"/>
        </w:rPr>
        <w:t>,</w:t>
      </w:r>
      <w:r>
        <w:rPr>
          <w:lang w:val="en-CA"/>
        </w:rPr>
        <w:t xml:space="preserve"> with week and weekend days using the </w:t>
      </w:r>
      <w:r w:rsidRPr="002777CD">
        <w:rPr>
          <w:lang w:val="en-CA"/>
        </w:rPr>
        <w:t xml:space="preserve">Lasa Sedentary </w:t>
      </w:r>
      <w:r>
        <w:rPr>
          <w:lang w:val="en-CA"/>
        </w:rPr>
        <w:t xml:space="preserve">Behaviour </w:t>
      </w:r>
      <w:r w:rsidRPr="002777CD">
        <w:rPr>
          <w:lang w:val="en-CA"/>
        </w:rPr>
        <w:t>Questionnaire</w:t>
      </w:r>
      <w:r>
        <w:rPr>
          <w:lang w:val="en-CA"/>
        </w:rPr>
        <w:t xml:space="preserve"> </w:t>
      </w:r>
      <w:r>
        <w:rPr>
          <w:lang w:val="en-CA"/>
        </w:rPr>
        <w:fldChar w:fldCharType="begin" w:fldLock="1"/>
      </w:r>
      <w:r w:rsidR="00F07B98">
        <w:rPr>
          <w:lang w:val="en-CA"/>
        </w:rPr>
        <w:instrText>ADDIN CSL_CITATION {"citationItems":[{"id":"ITEM-1","itemData":{"DOI":"10.1186/1471-2318-13-80","ISSN":"1471-2318","abstract":"There is currently no validated questionnaire available to assess total sedentary time in older adults. Most studies only used TV viewing time as an indicator of sedentary time. The first aim of our study was to investigate the self-reported time spent by older persons on a set of sedentary activities, and to compare this with objective sedentary time measured by accelerometry. The second aim was to determine what set of self-reported sedentary activities should be used to validly rank people’s total sedentary time. Finally we tested the reliability of our newly developed questionnaire using the best performing set of sedentary activities. The study sample included 83 men and women aged 65–92 y, a random sample of Longitudinal Aging Study Amsterdam participants, who completed a questionnaire including ten sedentary activities and wore an Actigraph GT3X accelerometer for 8 days. Spearman correlation coefficients were calculated to examine the association between self-reported time and objective sedentary time. The test-retest reliability was calculated using the intraclass correlation coefficient (ICC). Mean total self-reported sedentary time was 10.4 (SD 3.5) h/d and was not significantly different from mean total objective sedentary time (10.2 (1.2) h/d, p = 0.63). Total self-reported sedentary time on an average day (sum of ten activities) correlated moderately (Spearman’s r = 0.35, p &lt; 0.01) with total objective sedentary time. The correlation improved when using the sum of six activities (r = 0.46, p &lt; 0.01), and was much higher than when using TV watching only (r = 0.22, p = 0.05). The test-retest reliability of the sum of six sedentary activities was 0.71 (95% CI 0.57-0.81). A questionnaire including six sedentary activities was moderately associated with accelerometry-derived sedentary time and can be used to reliably rank sedentary time in older persons.","author":[{"dropping-particle":"","family":"Visser","given":"Marjolein","non-dropping-particle":"","parse-names":false,"suffix":""},{"dropping-particle":"","family":"Koster","given":"Annemarie","non-dropping-particle":"","parse-names":false,"suffix":""}],"container-title":"BMC Geriatrics","id":"ITEM-1","issue":"1","issued":{"date-parts":[["2013","12","30"]]},"page":"80","publisher":"BioMed Central","title":"Development of a questionnaire to assess sedentary time in older persons – a comparative study using accelerometry","type":"article-journal","volume":"13"},"uris":["http://www.mendeley.com/documents/?uuid=1110b631-4d52-3be6-a8a9-1b5b0be60e98"]}],"mendeley":{"formattedCitation":"(11)","plainTextFormattedCitation":"(11)","previouslyFormattedCitation":"(Visser &amp; Koster, 2013)"},"properties":{"noteIndex":0},"schema":"https://github.com/citation-style-language/schema/raw/master/csl-citation.json"}</w:instrText>
      </w:r>
      <w:r>
        <w:rPr>
          <w:lang w:val="en-CA"/>
        </w:rPr>
        <w:fldChar w:fldCharType="separate"/>
      </w:r>
      <w:r w:rsidR="00F07B98" w:rsidRPr="00F07B98">
        <w:rPr>
          <w:noProof/>
          <w:lang w:val="en-CA"/>
        </w:rPr>
        <w:t>(11)</w:t>
      </w:r>
      <w:r>
        <w:rPr>
          <w:lang w:val="en-CA"/>
        </w:rPr>
        <w:fldChar w:fldCharType="end"/>
      </w:r>
      <w:r>
        <w:rPr>
          <w:lang w:val="en-CA"/>
        </w:rPr>
        <w:t>.</w:t>
      </w:r>
    </w:p>
    <w:p w14:paraId="4D3612C3" w14:textId="77777777" w:rsidR="009B11A5" w:rsidRPr="0097690E" w:rsidRDefault="009B11A5" w:rsidP="009B11A5">
      <w:pPr>
        <w:rPr>
          <w:i/>
          <w:lang w:val="en-CA"/>
        </w:rPr>
      </w:pPr>
      <w:r w:rsidRPr="009467DE">
        <w:rPr>
          <w:i/>
          <w:lang w:val="en-CA"/>
        </w:rPr>
        <w:t>Physical fitness</w:t>
      </w:r>
    </w:p>
    <w:p w14:paraId="2E7AAE10" w14:textId="6315E705" w:rsidR="009B11A5" w:rsidRDefault="009B11A5" w:rsidP="009B11A5">
      <w:pPr>
        <w:rPr>
          <w:lang w:val="en-CA"/>
        </w:rPr>
      </w:pPr>
      <w:r>
        <w:rPr>
          <w:lang w:val="en-CA"/>
        </w:rPr>
        <w:t xml:space="preserve">Measure walking distance using the 6-minute walk test and predict CRF </w:t>
      </w:r>
      <w:r>
        <w:rPr>
          <w:lang w:val="en-CA"/>
        </w:rPr>
        <w:fldChar w:fldCharType="begin" w:fldLock="1"/>
      </w:r>
      <w:r w:rsidR="00F07B98">
        <w:rPr>
          <w:lang w:val="en-CA"/>
        </w:rPr>
        <w:instrText>ADDIN CSL_CITATION {"citationItems":[{"id":"ITEM-1","itemData":{"ISSN":"0008-4409","PMID":"3978515","abstract":"Cycle and treadmill exercise tests are unsuitable for elderly, frail and severely limited patients with heart failure and may not reflect capacity to undertake day-to-day activities. Walking tests have proved useful as measures of outcome for patients with chronic lung disease. To investigate the potential value of the 6-minute walk as an objective measure of exercise capacity in patients with chronic heart failure, the test was administered six times over 12 weeks to 18 patients with chronic heart failure and 25 with chronic lung disease. The subjects also underwent cycle ergometer testing, and their functional status was evaluated by means of conventional measures. The walking test proved highly acceptable to the patients, and stable, reproducible results were achieved after the first two walks. The results correlated with the conventional measures of functional status and exercise capacity. The authors conclude that the 6-minute walk is a useful measure of functional exercise capacity and a suitable measure of outcome for clinical trials in patients with chronic heart failure.","author":[{"dropping-particle":"","family":"Guyatt","given":"G H","non-dropping-particle":"","parse-names":false,"suffix":""},{"dropping-particle":"","family":"Sullivan","given":"M J","non-dropping-particle":"","parse-names":false,"suffix":""},{"dropping-particle":"","family":"Thompson","given":"P J","non-dropping-particle":"","parse-names":false,"suffix":""},{"dropping-particle":"","family":"Fallen","given":"E L","non-dropping-particle":"","parse-names":false,"suffix":""},{"dropping-particle":"","family":"Pugsley","given":"S O","non-dropping-particle":"","parse-names":false,"suffix":""},{"dropping-particle":"","family":"Taylor","given":"D W","non-dropping-particle":"","parse-names":false,"suffix":""},{"dropping-particle":"","family":"Berman","given":"L B","non-dropping-particle":"","parse-names":false,"suffix":""}],"container-title":"Canadian Medical Association journal","id":"ITEM-1","issue":"8","issued":{"date-parts":[["1985","4","15"]]},"page":"919-23","publisher":"Canadian Medical Association","title":"The 6-minute walk: a new measure of exercise capacity in patients with chronic heart failure.","type":"article-journal","volume":"132"},"uris":["http://www.mendeley.com/documents/?uuid=6e384e49-4a78-3cfe-b5bc-245cd6d59dc0"]}],"mendeley":{"formattedCitation":"(12)","plainTextFormattedCitation":"(12)","previouslyFormattedCitation":"(Guyatt et al., 1985)"},"properties":{"noteIndex":0},"schema":"https://github.com/citation-style-language/schema/raw/master/csl-citation.json"}</w:instrText>
      </w:r>
      <w:r>
        <w:rPr>
          <w:lang w:val="en-CA"/>
        </w:rPr>
        <w:fldChar w:fldCharType="separate"/>
      </w:r>
      <w:r w:rsidR="00F07B98" w:rsidRPr="00F07B98">
        <w:rPr>
          <w:noProof/>
          <w:lang w:val="en-CA"/>
        </w:rPr>
        <w:t>(12)</w:t>
      </w:r>
      <w:r>
        <w:rPr>
          <w:lang w:val="en-CA"/>
        </w:rPr>
        <w:fldChar w:fldCharType="end"/>
      </w:r>
      <w:r>
        <w:rPr>
          <w:lang w:val="en-CA"/>
        </w:rPr>
        <w:t>.</w:t>
      </w:r>
    </w:p>
    <w:p w14:paraId="337472E1" w14:textId="23E5006C" w:rsidR="009B11A5" w:rsidRDefault="009B11A5" w:rsidP="009B11A5">
      <w:pPr>
        <w:rPr>
          <w:lang w:val="en-CA"/>
        </w:rPr>
      </w:pPr>
      <w:r>
        <w:rPr>
          <w:lang w:val="en-CA"/>
        </w:rPr>
        <w:t xml:space="preserve">Measure muscular strength using the </w:t>
      </w:r>
      <w:r w:rsidRPr="009467DE">
        <w:rPr>
          <w:lang w:val="en-CA"/>
        </w:rPr>
        <w:t>Southampton grip-strength measurement</w:t>
      </w:r>
      <w:r>
        <w:rPr>
          <w:lang w:val="en-CA"/>
        </w:rPr>
        <w:t xml:space="preserve"> </w:t>
      </w:r>
      <w:r>
        <w:rPr>
          <w:lang w:val="en-CA"/>
        </w:rPr>
        <w:fldChar w:fldCharType="begin" w:fldLock="1"/>
      </w:r>
      <w:r w:rsidR="00F07B98">
        <w:rPr>
          <w:lang w:val="en-CA"/>
        </w:rPr>
        <w:instrText>ADDIN CSL_CITATION {"citationItems":[{"id":"ITEM-1","itemData":{"DOI":"10.1016/J.PHYSIO.2005.05.003","ISSN":"0031-9406","abstract":"The purpose of this meta-analysis was to consolidate the results of studies presenting normative values for grip strength obtained with the Jamar dynamometer in accordance with the recommendations of the American Society of Hand Therapists. Relevant data from 12 sources (3317 subjects) were employed. Means and 95% confidence intervals are presented for the left and right sides of men and women in 12 age groups (20–24, 25–29, 30–34, 35–39, 40–44, 45–49, 50–54, 55–59, 60–64, 65–69, 70–74, 75+ years). The consolidated grip strength reference values offer a better standard for comparison than provided by any single study alone. Limitations in the meta-analysis notwithstanding, the lower limit of the 95% confidence interval can serve as a reasonable threshold for establishing grip strength impairment among adults.","author":[{"dropping-particle":"","family":"Bohannon","given":"Richard W.","non-dropping-particle":"","parse-names":false,"suffix":""},{"dropping-particle":"","family":"Peolsson","given":"Anneli","non-dropping-particle":"","parse-names":false,"suffix":""},{"dropping-particle":"","family":"Massy-Westropp","given":"Nicola","non-dropping-particle":"","parse-names":false,"suffix":""},{"dropping-particle":"","family":"Desrosiers","given":"Johanne","non-dropping-particle":"","parse-names":false,"suffix":""},{"dropping-particle":"","family":"Bear-Lehman","given":"Jane","non-dropping-particle":"","parse-names":false,"suffix":""}],"container-title":"Physiotherapy","id":"ITEM-1","issue":"1","issued":{"date-parts":[["2006","3","1"]]},"page":"11-15","publisher":"Elsevier","title":"Reference values for adult grip strength measured with a Jamar dynamometer: a descriptive meta-analysis","type":"article-journal","volume":"92"},"uris":["http://www.mendeley.com/documents/?uuid=23bd8ab4-b08a-387d-afc9-df7917f5d2aa"]}],"mendeley":{"formattedCitation":"(13)","plainTextFormattedCitation":"(13)","previouslyFormattedCitation":"(Bohannon, Peolsson, Massy-Westropp, Desrosiers, &amp; Bear-Lehman, 2006)"},"properties":{"noteIndex":0},"schema":"https://github.com/citation-style-language/schema/raw/master/csl-citation.json"}</w:instrText>
      </w:r>
      <w:r>
        <w:rPr>
          <w:lang w:val="en-CA"/>
        </w:rPr>
        <w:fldChar w:fldCharType="separate"/>
      </w:r>
      <w:r w:rsidR="00F07B98" w:rsidRPr="00F07B98">
        <w:rPr>
          <w:noProof/>
          <w:lang w:val="en-CA"/>
        </w:rPr>
        <w:t>(13)</w:t>
      </w:r>
      <w:r>
        <w:rPr>
          <w:lang w:val="en-CA"/>
        </w:rPr>
        <w:fldChar w:fldCharType="end"/>
      </w:r>
      <w:r>
        <w:rPr>
          <w:lang w:val="en-CA"/>
        </w:rPr>
        <w:t>:</w:t>
      </w:r>
    </w:p>
    <w:p w14:paraId="1567FE21" w14:textId="77777777" w:rsidR="009B11A5" w:rsidRPr="00EE6D8B" w:rsidRDefault="009B11A5"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Sleep</w:t>
      </w:r>
    </w:p>
    <w:p w14:paraId="518CEA0A" w14:textId="77777777" w:rsidR="009B11A5" w:rsidRPr="00F210DC" w:rsidRDefault="009B11A5" w:rsidP="009B11A5">
      <w:pPr>
        <w:rPr>
          <w:i/>
          <w:lang w:val="en-CA"/>
        </w:rPr>
      </w:pPr>
      <w:r w:rsidRPr="009467DE">
        <w:rPr>
          <w:i/>
          <w:lang w:val="en-CA"/>
        </w:rPr>
        <w:t>Sleep duration</w:t>
      </w:r>
    </w:p>
    <w:p w14:paraId="25FB685D" w14:textId="77777777" w:rsidR="009B11A5" w:rsidRPr="00575F1D" w:rsidRDefault="009B11A5" w:rsidP="009B11A5">
      <w:pPr>
        <w:rPr>
          <w:lang w:val="en-CA"/>
        </w:rPr>
      </w:pPr>
      <w:r>
        <w:rPr>
          <w:lang w:val="en-CA"/>
        </w:rPr>
        <w:t>Assess a</w:t>
      </w:r>
      <w:r w:rsidRPr="00575F1D">
        <w:rPr>
          <w:lang w:val="en-CA"/>
        </w:rPr>
        <w:t xml:space="preserve">verage </w:t>
      </w:r>
      <w:r>
        <w:rPr>
          <w:lang w:val="en-CA"/>
        </w:rPr>
        <w:t>sleep duration</w:t>
      </w:r>
      <w:r w:rsidRPr="00575F1D">
        <w:rPr>
          <w:lang w:val="en-CA"/>
        </w:rPr>
        <w:t xml:space="preserve"> across the week = (SDwork x week days + SDfree x (7-week days))/7</w:t>
      </w:r>
    </w:p>
    <w:p w14:paraId="38DF6C63" w14:textId="77777777" w:rsidR="009B11A5" w:rsidRPr="00575F1D" w:rsidRDefault="009B11A5" w:rsidP="009B11A5">
      <w:pPr>
        <w:rPr>
          <w:lang w:val="en-CA"/>
        </w:rPr>
      </w:pPr>
      <w:r>
        <w:rPr>
          <w:lang w:val="en-CA"/>
        </w:rPr>
        <w:t>(Also see questions below in circadian misalignment/ social jetlag section)</w:t>
      </w:r>
    </w:p>
    <w:p w14:paraId="6E4DD912" w14:textId="77777777" w:rsidR="009B11A5" w:rsidRPr="00F210DC" w:rsidRDefault="009B11A5" w:rsidP="009B11A5">
      <w:pPr>
        <w:rPr>
          <w:i/>
          <w:lang w:val="en-CA"/>
        </w:rPr>
      </w:pPr>
      <w:r w:rsidRPr="001F1452">
        <w:rPr>
          <w:i/>
          <w:lang w:val="en-CA"/>
        </w:rPr>
        <w:t>Presence of night work and permanent night work</w:t>
      </w:r>
    </w:p>
    <w:p w14:paraId="3B8D6FD7" w14:textId="4CA8D980" w:rsidR="009B11A5" w:rsidRDefault="009B11A5" w:rsidP="009B11A5">
      <w:pPr>
        <w:rPr>
          <w:lang w:val="en-CA"/>
        </w:rPr>
      </w:pPr>
      <w:r>
        <w:rPr>
          <w:lang w:val="en-CA"/>
        </w:rPr>
        <w:t>Shift work and n</w:t>
      </w:r>
      <w:r w:rsidRPr="00575F1D">
        <w:rPr>
          <w:lang w:val="en-CA"/>
        </w:rPr>
        <w:t xml:space="preserve">ight work </w:t>
      </w:r>
      <w:r>
        <w:rPr>
          <w:lang w:val="en-CA"/>
        </w:rPr>
        <w:t>are</w:t>
      </w:r>
      <w:r w:rsidRPr="00575F1D">
        <w:rPr>
          <w:lang w:val="en-CA"/>
        </w:rPr>
        <w:t xml:space="preserve"> defined by Directive 2003/88/EC of 4 November 2003</w:t>
      </w:r>
      <w:r>
        <w:rPr>
          <w:lang w:val="en-CA"/>
        </w:rPr>
        <w:t xml:space="preserve"> </w:t>
      </w:r>
      <w:r>
        <w:rPr>
          <w:lang w:val="en-CA"/>
        </w:rPr>
        <w:fldChar w:fldCharType="begin" w:fldLock="1"/>
      </w:r>
      <w:r w:rsidR="00F07B98">
        <w:rPr>
          <w:lang w:val="en-CA"/>
        </w:rPr>
        <w:instrText>ADDIN CSL_CITATION {"citationItems":[{"id":"ITEM-1","itemData":{"URL":"https://osha.europa.eu/en/legislation/directives/directive-2003-88-ec","accessed":{"date-parts":[["2019","5","13"]]},"id":"ITEM-1","issued":{"date-parts":[["0"]]},"title":"Directive 2003/88/EC - working time - Safety and health at work - EU-OSHA","type":"webpage"},"uris":["http://www.mendeley.com/documents/?uuid=fc050298-6fa2-3aad-ae53-95fbf05f140f"]}],"mendeley":{"formattedCitation":"(14)","plainTextFormattedCitation":"(14)","previouslyFormattedCitation":"(“Directive 2003/88/EC - working time - Safety and health at work - EU-OSHA,” n.d.)"},"properties":{"noteIndex":0},"schema":"https://github.com/citation-style-language/schema/raw/master/csl-citation.json"}</w:instrText>
      </w:r>
      <w:r>
        <w:rPr>
          <w:lang w:val="en-CA"/>
        </w:rPr>
        <w:fldChar w:fldCharType="separate"/>
      </w:r>
      <w:r w:rsidR="00F07B98" w:rsidRPr="00F07B98">
        <w:rPr>
          <w:noProof/>
          <w:lang w:val="en-CA"/>
        </w:rPr>
        <w:t>(14)</w:t>
      </w:r>
      <w:r>
        <w:rPr>
          <w:lang w:val="en-CA"/>
        </w:rPr>
        <w:fldChar w:fldCharType="end"/>
      </w:r>
      <w:r>
        <w:rPr>
          <w:lang w:val="en-CA"/>
        </w:rPr>
        <w:t>:</w:t>
      </w:r>
    </w:p>
    <w:p w14:paraId="3C085EF3" w14:textId="77777777" w:rsidR="009B11A5" w:rsidRPr="0059326B" w:rsidRDefault="009B11A5" w:rsidP="009B11A5">
      <w:pPr>
        <w:pStyle w:val="Paragraphedeliste"/>
        <w:numPr>
          <w:ilvl w:val="0"/>
          <w:numId w:val="8"/>
        </w:numPr>
        <w:rPr>
          <w:lang w:val="en-CA"/>
        </w:rPr>
      </w:pPr>
      <w:r w:rsidRPr="008E338B">
        <w:rPr>
          <w:lang w:val="en-CA"/>
        </w:rPr>
        <w:t xml:space="preserve">"shift work" means any method of organising work in shifts whereby workers succeed each other at the same work stations according to a certain pattern, including a rotating pattern, </w:t>
      </w:r>
      <w:r w:rsidRPr="008E338B">
        <w:rPr>
          <w:lang w:val="en-CA"/>
        </w:rPr>
        <w:lastRenderedPageBreak/>
        <w:t>and which may be continuous or discontinuous, entailing the need for workers to work at different times over a given period of days or weeks</w:t>
      </w:r>
    </w:p>
    <w:p w14:paraId="282F73EF" w14:textId="77777777" w:rsidR="009B11A5" w:rsidRPr="0059326B" w:rsidRDefault="009B11A5" w:rsidP="009B11A5">
      <w:pPr>
        <w:pStyle w:val="Paragraphedeliste"/>
        <w:numPr>
          <w:ilvl w:val="0"/>
          <w:numId w:val="8"/>
        </w:numPr>
        <w:rPr>
          <w:lang w:val="en-CA"/>
        </w:rPr>
      </w:pPr>
      <w:r>
        <w:rPr>
          <w:lang w:val="en-CA"/>
        </w:rPr>
        <w:t>"n</w:t>
      </w:r>
      <w:r w:rsidRPr="0059326B">
        <w:rPr>
          <w:lang w:val="en-CA"/>
        </w:rPr>
        <w:t>ight time</w:t>
      </w:r>
      <w:r>
        <w:rPr>
          <w:lang w:val="en-CA"/>
        </w:rPr>
        <w:t>"</w:t>
      </w:r>
      <w:r w:rsidRPr="0059326B">
        <w:rPr>
          <w:lang w:val="en-CA"/>
        </w:rPr>
        <w:t xml:space="preserve"> is ‘any period of not less than seven hours, as defined by national law, and which must include in any case the period between midnight and 05:00’.</w:t>
      </w:r>
    </w:p>
    <w:p w14:paraId="3F7F61A1" w14:textId="77777777" w:rsidR="009B11A5" w:rsidRDefault="009B11A5" w:rsidP="009B11A5">
      <w:pPr>
        <w:pStyle w:val="Paragraphedeliste"/>
        <w:numPr>
          <w:ilvl w:val="0"/>
          <w:numId w:val="8"/>
        </w:numPr>
        <w:rPr>
          <w:lang w:val="en-CA"/>
        </w:rPr>
      </w:pPr>
      <w:r w:rsidRPr="0059326B">
        <w:rPr>
          <w:lang w:val="en-CA"/>
        </w:rPr>
        <w:t>"night worker" means any worker, who, during night time, works at least three hours of his daily working time as a normal course</w:t>
      </w:r>
      <w:r w:rsidRPr="0059326B" w:rsidDel="0059326B">
        <w:rPr>
          <w:lang w:val="en-CA"/>
        </w:rPr>
        <w:t xml:space="preserve"> </w:t>
      </w:r>
    </w:p>
    <w:p w14:paraId="14D1341C" w14:textId="77777777" w:rsidR="009B11A5" w:rsidRPr="00D45EC0" w:rsidRDefault="009B11A5" w:rsidP="009B11A5">
      <w:pPr>
        <w:rPr>
          <w:lang w:val="en-CA"/>
        </w:rPr>
      </w:pPr>
      <w:r>
        <w:rPr>
          <w:lang w:val="en-CA"/>
        </w:rPr>
        <w:t>Use c</w:t>
      </w:r>
      <w:r w:rsidRPr="00D45EC0">
        <w:rPr>
          <w:lang w:val="en-CA"/>
        </w:rPr>
        <w:t>ustom assessment:</w:t>
      </w:r>
    </w:p>
    <w:tbl>
      <w:tblPr>
        <w:tblW w:w="7917" w:type="dxa"/>
        <w:tblCellMar>
          <w:left w:w="0" w:type="dxa"/>
          <w:right w:w="0" w:type="dxa"/>
        </w:tblCellMar>
        <w:tblLook w:val="0420" w:firstRow="1" w:lastRow="0" w:firstColumn="0" w:lastColumn="0" w:noHBand="0" w:noVBand="1"/>
      </w:tblPr>
      <w:tblGrid>
        <w:gridCol w:w="1311"/>
        <w:gridCol w:w="6606"/>
      </w:tblGrid>
      <w:tr w:rsidR="009B11A5" w:rsidRPr="00F85CAB" w14:paraId="2DE77786" w14:textId="77777777" w:rsidTr="0068762B">
        <w:trPr>
          <w:trHeight w:val="859"/>
        </w:trPr>
        <w:tc>
          <w:tcPr>
            <w:tcW w:w="1311" w:type="dxa"/>
            <w:vMerge w:val="restart"/>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hideMark/>
          </w:tcPr>
          <w:p w14:paraId="38C8C8C0" w14:textId="77777777" w:rsidR="009B11A5" w:rsidRPr="0068762B" w:rsidRDefault="009B11A5" w:rsidP="00624B86">
            <w:pPr>
              <w:rPr>
                <w:bCs/>
              </w:rPr>
            </w:pPr>
            <w:r w:rsidRPr="0068762B">
              <w:rPr>
                <w:bCs/>
                <w:lang w:val="en-US"/>
              </w:rPr>
              <w:t>Self-report</w:t>
            </w:r>
          </w:p>
        </w:tc>
        <w:tc>
          <w:tcPr>
            <w:tcW w:w="660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hideMark/>
          </w:tcPr>
          <w:p w14:paraId="09CA3888" w14:textId="77777777" w:rsidR="009B11A5" w:rsidRPr="003853AE" w:rsidRDefault="009B11A5" w:rsidP="00624B86">
            <w:pPr>
              <w:rPr>
                <w:lang w:val="en-US"/>
              </w:rPr>
            </w:pPr>
            <w:r w:rsidRPr="00D45EC0">
              <w:rPr>
                <w:lang w:val="en-US"/>
              </w:rPr>
              <w:t>Do you work in shifts? This includes rotating successive morning/evening or rotating successive morning/evening/night shift or other alternate shifts.</w:t>
            </w:r>
            <w:r>
              <w:rPr>
                <w:lang w:val="en-US"/>
              </w:rPr>
              <w:t xml:space="preserve"> (yes / no)</w:t>
            </w:r>
          </w:p>
        </w:tc>
      </w:tr>
      <w:tr w:rsidR="009B11A5" w:rsidRPr="00F85CAB" w14:paraId="335D68CF" w14:textId="77777777" w:rsidTr="0068762B">
        <w:trPr>
          <w:trHeight w:val="702"/>
        </w:trPr>
        <w:tc>
          <w:tcPr>
            <w:tcW w:w="0" w:type="auto"/>
            <w:vMerge/>
            <w:tcBorders>
              <w:top w:val="single" w:sz="8" w:space="0" w:color="A5A5A5"/>
              <w:left w:val="single" w:sz="8" w:space="0" w:color="A5A5A5"/>
              <w:bottom w:val="single" w:sz="8" w:space="0" w:color="A5A5A5"/>
              <w:right w:val="single" w:sz="8" w:space="0" w:color="A5A5A5"/>
            </w:tcBorders>
            <w:shd w:val="clear" w:color="auto" w:fill="auto"/>
            <w:vAlign w:val="center"/>
            <w:hideMark/>
          </w:tcPr>
          <w:p w14:paraId="23E11969" w14:textId="77777777" w:rsidR="009B11A5" w:rsidRPr="003853AE" w:rsidRDefault="009B11A5" w:rsidP="00624B86">
            <w:pPr>
              <w:rPr>
                <w:lang w:val="en-US"/>
              </w:rPr>
            </w:pPr>
          </w:p>
        </w:tc>
        <w:tc>
          <w:tcPr>
            <w:tcW w:w="660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hideMark/>
          </w:tcPr>
          <w:p w14:paraId="0D98A0CC" w14:textId="77777777" w:rsidR="009B11A5" w:rsidRPr="003853AE" w:rsidRDefault="009B11A5" w:rsidP="00624B86">
            <w:pPr>
              <w:rPr>
                <w:lang w:val="en-US"/>
              </w:rPr>
            </w:pPr>
            <w:r w:rsidRPr="00D45EC0">
              <w:rPr>
                <w:lang w:val="en-US"/>
              </w:rPr>
              <w:t>Does your work involve working at night (i.e. between 0-5am) even irregularly?</w:t>
            </w:r>
            <w:r>
              <w:rPr>
                <w:lang w:val="en-US"/>
              </w:rPr>
              <w:t xml:space="preserve"> (yes / no)</w:t>
            </w:r>
          </w:p>
        </w:tc>
      </w:tr>
      <w:tr w:rsidR="009B11A5" w:rsidRPr="00F85CAB" w14:paraId="1ED0E040" w14:textId="77777777" w:rsidTr="0068762B">
        <w:trPr>
          <w:trHeight w:val="702"/>
        </w:trPr>
        <w:tc>
          <w:tcPr>
            <w:tcW w:w="0" w:type="auto"/>
            <w:vMerge/>
            <w:tcBorders>
              <w:top w:val="single" w:sz="8" w:space="0" w:color="A5A5A5"/>
              <w:left w:val="single" w:sz="8" w:space="0" w:color="A5A5A5"/>
              <w:bottom w:val="single" w:sz="8" w:space="0" w:color="A5A5A5"/>
              <w:right w:val="single" w:sz="8" w:space="0" w:color="A5A5A5"/>
            </w:tcBorders>
            <w:shd w:val="clear" w:color="auto" w:fill="auto"/>
            <w:vAlign w:val="center"/>
            <w:hideMark/>
          </w:tcPr>
          <w:p w14:paraId="218A979B" w14:textId="77777777" w:rsidR="009B11A5" w:rsidRPr="003853AE" w:rsidRDefault="009B11A5" w:rsidP="00624B86">
            <w:pPr>
              <w:rPr>
                <w:lang w:val="en-US"/>
              </w:rPr>
            </w:pPr>
          </w:p>
        </w:tc>
        <w:tc>
          <w:tcPr>
            <w:tcW w:w="660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hideMark/>
          </w:tcPr>
          <w:p w14:paraId="5CE6D6F2" w14:textId="77777777" w:rsidR="009B11A5" w:rsidRPr="003853AE" w:rsidRDefault="009B11A5" w:rsidP="00624B86">
            <w:pPr>
              <w:rPr>
                <w:lang w:val="en-US"/>
              </w:rPr>
            </w:pPr>
            <w:r w:rsidRPr="00D45EC0">
              <w:rPr>
                <w:lang w:val="en-US"/>
              </w:rPr>
              <w:t>Do you work permanently at night (i.e. between 0-5am)?</w:t>
            </w:r>
            <w:r>
              <w:rPr>
                <w:lang w:val="en-US"/>
              </w:rPr>
              <w:t xml:space="preserve"> (yes / no)</w:t>
            </w:r>
          </w:p>
        </w:tc>
      </w:tr>
    </w:tbl>
    <w:p w14:paraId="4E37C506" w14:textId="77777777" w:rsidR="009B11A5" w:rsidRPr="00575F1D" w:rsidRDefault="009B11A5" w:rsidP="009B11A5">
      <w:pPr>
        <w:rPr>
          <w:lang w:val="en-CA"/>
        </w:rPr>
      </w:pPr>
      <w:r w:rsidRPr="00575F1D">
        <w:rPr>
          <w:lang w:val="en-CA"/>
        </w:rPr>
        <w:t xml:space="preserve"> </w:t>
      </w:r>
    </w:p>
    <w:p w14:paraId="4C8E65D9" w14:textId="77777777" w:rsidR="009B11A5" w:rsidRPr="00F210DC" w:rsidRDefault="009B11A5" w:rsidP="009B11A5">
      <w:pPr>
        <w:rPr>
          <w:i/>
          <w:lang w:val="en-CA"/>
        </w:rPr>
      </w:pPr>
      <w:r w:rsidRPr="001F1452">
        <w:rPr>
          <w:i/>
          <w:lang w:val="en-CA"/>
        </w:rPr>
        <w:t>Circadian misalignment/ social jetlag</w:t>
      </w:r>
    </w:p>
    <w:p w14:paraId="0DE61A8A" w14:textId="77777777" w:rsidR="009B11A5" w:rsidRPr="00575F1D" w:rsidRDefault="009B11A5" w:rsidP="009B11A5">
      <w:pPr>
        <w:rPr>
          <w:lang w:val="en-CA"/>
        </w:rPr>
      </w:pPr>
      <w:r w:rsidRPr="00575F1D">
        <w:rPr>
          <w:lang w:val="en-CA"/>
        </w:rPr>
        <w:t>Social jetlag is the difference between mid-point of sleep times on free days and</w:t>
      </w:r>
      <w:r>
        <w:rPr>
          <w:lang w:val="en-CA"/>
        </w:rPr>
        <w:t xml:space="preserve"> </w:t>
      </w:r>
      <w:r w:rsidRPr="00575F1D">
        <w:rPr>
          <w:lang w:val="en-CA"/>
        </w:rPr>
        <w:t xml:space="preserve">on workdays. </w:t>
      </w:r>
    </w:p>
    <w:p w14:paraId="4F94D867" w14:textId="77777777" w:rsidR="009B11A5" w:rsidRPr="00D45EC0" w:rsidRDefault="009B11A5" w:rsidP="009B11A5">
      <w:pPr>
        <w:rPr>
          <w:lang w:val="en-CA"/>
        </w:rPr>
      </w:pPr>
      <w:r>
        <w:rPr>
          <w:lang w:val="en-CA"/>
        </w:rPr>
        <w:t>Use c</w:t>
      </w:r>
      <w:r w:rsidRPr="00D45EC0">
        <w:rPr>
          <w:lang w:val="en-CA"/>
        </w:rPr>
        <w:t>ustom assessment:</w:t>
      </w:r>
    </w:p>
    <w:tbl>
      <w:tblPr>
        <w:tblW w:w="7900" w:type="dxa"/>
        <w:tblCellMar>
          <w:left w:w="0" w:type="dxa"/>
          <w:right w:w="0" w:type="dxa"/>
        </w:tblCellMar>
        <w:tblLook w:val="04A0" w:firstRow="1" w:lastRow="0" w:firstColumn="1" w:lastColumn="0" w:noHBand="0" w:noVBand="1"/>
      </w:tblPr>
      <w:tblGrid>
        <w:gridCol w:w="1705"/>
        <w:gridCol w:w="6195"/>
      </w:tblGrid>
      <w:tr w:rsidR="009B11A5" w:rsidRPr="00BB42EB" w14:paraId="360F4AA0" w14:textId="77777777" w:rsidTr="0068762B">
        <w:trPr>
          <w:trHeight w:val="271"/>
        </w:trPr>
        <w:tc>
          <w:tcPr>
            <w:tcW w:w="17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3ED112" w14:textId="77777777" w:rsidR="009B11A5" w:rsidRPr="0068762B" w:rsidRDefault="009B11A5" w:rsidP="00624B86">
            <w:pPr>
              <w:rPr>
                <w:bCs/>
              </w:rPr>
            </w:pPr>
            <w:r w:rsidRPr="0068762B">
              <w:rPr>
                <w:bCs/>
                <w:lang w:val="en-US"/>
              </w:rPr>
              <w:t>Self-report</w:t>
            </w:r>
          </w:p>
        </w:tc>
        <w:tc>
          <w:tcPr>
            <w:tcW w:w="61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E7575D" w14:textId="77777777" w:rsidR="009B11A5" w:rsidRPr="00F85CAB" w:rsidRDefault="009B11A5" w:rsidP="00624B86">
            <w:pPr>
              <w:rPr>
                <w:lang w:val="en-US"/>
              </w:rPr>
            </w:pPr>
            <w:r w:rsidRPr="00F85CAB">
              <w:rPr>
                <w:lang w:val="en-US"/>
              </w:rPr>
              <w:t>How many days in a week do you work?</w:t>
            </w:r>
          </w:p>
        </w:tc>
      </w:tr>
      <w:tr w:rsidR="009B11A5" w:rsidRPr="00E11AC3" w14:paraId="62867C5D" w14:textId="77777777" w:rsidTr="0068762B">
        <w:trPr>
          <w:trHeight w:val="40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AEACAD" w14:textId="77777777" w:rsidR="009B11A5" w:rsidRPr="00F85CAB" w:rsidRDefault="009B11A5" w:rsidP="00624B86">
            <w:pPr>
              <w:rPr>
                <w:lang w:val="en-US"/>
              </w:rPr>
            </w:pPr>
          </w:p>
        </w:tc>
        <w:tc>
          <w:tcPr>
            <w:tcW w:w="61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232670" w14:textId="77777777" w:rsidR="009B11A5" w:rsidRPr="00D45EC0" w:rsidRDefault="009B11A5" w:rsidP="00624B86">
            <w:r w:rsidRPr="00D45EC0">
              <w:rPr>
                <w:lang w:val="en-US"/>
              </w:rPr>
              <w:t xml:space="preserve">On nights before workdays, </w:t>
            </w:r>
            <w:r w:rsidRPr="00D45EC0">
              <w:rPr>
                <w:rFonts w:cstheme="minorHAnsi"/>
                <w:lang w:val="en-US"/>
              </w:rPr>
              <w:t>what time do you</w:t>
            </w:r>
            <w:r w:rsidRPr="00D45EC0">
              <w:rPr>
                <w:lang w:val="en-US"/>
              </w:rPr>
              <w:t xml:space="preserve"> fall asleep at</w:t>
            </w:r>
            <w:r w:rsidRPr="00D45EC0">
              <w:rPr>
                <w:rFonts w:cstheme="minorHAnsi"/>
                <w:lang w:val="en-US"/>
              </w:rPr>
              <w:t>?</w:t>
            </w:r>
            <w:r w:rsidRPr="00D45EC0">
              <w:rPr>
                <w:lang w:val="en-US"/>
              </w:rPr>
              <w:t>_ _:_ _ o'clock.</w:t>
            </w:r>
          </w:p>
        </w:tc>
      </w:tr>
      <w:tr w:rsidR="009B11A5" w:rsidRPr="00E11AC3" w14:paraId="67156646" w14:textId="77777777" w:rsidTr="0068762B">
        <w:trPr>
          <w:trHeight w:val="271"/>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5DE848" w14:textId="77777777" w:rsidR="009B11A5" w:rsidRPr="00D45EC0" w:rsidRDefault="009B11A5" w:rsidP="00624B86"/>
        </w:tc>
        <w:tc>
          <w:tcPr>
            <w:tcW w:w="61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A4EC99" w14:textId="77777777" w:rsidR="009B11A5" w:rsidRPr="00D45EC0" w:rsidRDefault="009B11A5" w:rsidP="00624B86">
            <w:r w:rsidRPr="00D45EC0">
              <w:rPr>
                <w:lang w:val="en-US"/>
              </w:rPr>
              <w:t xml:space="preserve">On work days, </w:t>
            </w:r>
            <w:r w:rsidRPr="00D45EC0">
              <w:rPr>
                <w:rFonts w:cstheme="minorHAnsi"/>
                <w:lang w:val="en-US"/>
              </w:rPr>
              <w:t>what time do you</w:t>
            </w:r>
            <w:r w:rsidRPr="00D45EC0">
              <w:rPr>
                <w:lang w:val="en-US"/>
              </w:rPr>
              <w:t xml:space="preserve"> normally wake up at</w:t>
            </w:r>
            <w:r w:rsidRPr="00D45EC0">
              <w:rPr>
                <w:rFonts w:cstheme="minorHAnsi"/>
                <w:lang w:val="en-US"/>
              </w:rPr>
              <w:t>?</w:t>
            </w:r>
            <w:r w:rsidRPr="00D45EC0">
              <w:rPr>
                <w:lang w:val="en-US"/>
              </w:rPr>
              <w:t xml:space="preserve"> _ _:_ _ o'clock.</w:t>
            </w:r>
          </w:p>
        </w:tc>
      </w:tr>
      <w:tr w:rsidR="009B11A5" w:rsidRPr="00E11AC3" w14:paraId="07534DD6" w14:textId="77777777" w:rsidTr="0068762B">
        <w:trPr>
          <w:trHeight w:val="271"/>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016A37" w14:textId="77777777" w:rsidR="009B11A5" w:rsidRPr="00D45EC0" w:rsidRDefault="009B11A5" w:rsidP="00624B86"/>
        </w:tc>
        <w:tc>
          <w:tcPr>
            <w:tcW w:w="61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549134" w14:textId="77777777" w:rsidR="009B11A5" w:rsidRPr="00D45EC0" w:rsidRDefault="009B11A5" w:rsidP="00624B86">
            <w:r w:rsidRPr="00D45EC0">
              <w:rPr>
                <w:lang w:val="en-US"/>
              </w:rPr>
              <w:t xml:space="preserve">On nights before free days, </w:t>
            </w:r>
            <w:r w:rsidRPr="00D45EC0">
              <w:rPr>
                <w:rFonts w:cstheme="minorHAnsi"/>
                <w:lang w:val="en-US"/>
              </w:rPr>
              <w:t>what time do you</w:t>
            </w:r>
            <w:r w:rsidRPr="00D45EC0">
              <w:rPr>
                <w:lang w:val="en-US"/>
              </w:rPr>
              <w:t xml:space="preserve"> fall asleep at</w:t>
            </w:r>
            <w:r w:rsidRPr="00D45EC0">
              <w:rPr>
                <w:rFonts w:cstheme="minorHAnsi"/>
                <w:lang w:val="en-US"/>
              </w:rPr>
              <w:t>?</w:t>
            </w:r>
            <w:r w:rsidRPr="00D45EC0">
              <w:rPr>
                <w:lang w:val="en-US"/>
              </w:rPr>
              <w:t xml:space="preserve"> _ _:_ _ o'clock.</w:t>
            </w:r>
          </w:p>
        </w:tc>
      </w:tr>
      <w:tr w:rsidR="009B11A5" w:rsidRPr="00E11AC3" w14:paraId="0848A1B6" w14:textId="77777777" w:rsidTr="0068762B">
        <w:trPr>
          <w:trHeight w:val="271"/>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DDCB55" w14:textId="77777777" w:rsidR="009B11A5" w:rsidRPr="00D45EC0" w:rsidRDefault="009B11A5" w:rsidP="00624B86"/>
        </w:tc>
        <w:tc>
          <w:tcPr>
            <w:tcW w:w="61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CE4562" w14:textId="77777777" w:rsidR="009B11A5" w:rsidRPr="00D45EC0" w:rsidRDefault="009B11A5" w:rsidP="00624B86">
            <w:r w:rsidRPr="00D45EC0">
              <w:rPr>
                <w:lang w:val="en-US"/>
              </w:rPr>
              <w:t xml:space="preserve">On free days, </w:t>
            </w:r>
            <w:r w:rsidRPr="00D45EC0">
              <w:rPr>
                <w:rFonts w:cstheme="minorHAnsi"/>
                <w:lang w:val="en-US"/>
              </w:rPr>
              <w:t>what time do you</w:t>
            </w:r>
            <w:r w:rsidRPr="00D45EC0">
              <w:rPr>
                <w:lang w:val="en-US"/>
              </w:rPr>
              <w:t xml:space="preserve"> normally wake up at</w:t>
            </w:r>
            <w:r w:rsidRPr="00D45EC0">
              <w:rPr>
                <w:rFonts w:cstheme="minorHAnsi"/>
                <w:lang w:val="en-US"/>
              </w:rPr>
              <w:t>?</w:t>
            </w:r>
            <w:r w:rsidRPr="00D45EC0">
              <w:rPr>
                <w:lang w:val="en-US"/>
              </w:rPr>
              <w:t xml:space="preserve"> _ _:_ _ o'clock.</w:t>
            </w:r>
          </w:p>
        </w:tc>
      </w:tr>
    </w:tbl>
    <w:p w14:paraId="6570862D" w14:textId="77777777" w:rsidR="009B11A5" w:rsidRPr="00575F1D" w:rsidRDefault="009B11A5" w:rsidP="009B11A5">
      <w:pPr>
        <w:rPr>
          <w:lang w:val="en-CA"/>
        </w:rPr>
      </w:pPr>
    </w:p>
    <w:p w14:paraId="28D85BFE" w14:textId="77777777" w:rsidR="009B11A5" w:rsidRDefault="009B11A5" w:rsidP="009B11A5">
      <w:pPr>
        <w:rPr>
          <w:i/>
          <w:lang w:val="en-CA"/>
        </w:rPr>
      </w:pPr>
      <w:r w:rsidRPr="001F1452">
        <w:rPr>
          <w:i/>
          <w:lang w:val="en-CA"/>
        </w:rPr>
        <w:t>Presence of OSA and CPAP</w:t>
      </w:r>
    </w:p>
    <w:p w14:paraId="0F4DEB7B" w14:textId="77777777" w:rsidR="009B11A5" w:rsidRPr="001F1452" w:rsidRDefault="009B11A5" w:rsidP="009B11A5">
      <w:pPr>
        <w:rPr>
          <w:lang w:val="en-CA"/>
        </w:rPr>
      </w:pPr>
      <w:r>
        <w:rPr>
          <w:lang w:val="en-CA"/>
        </w:rPr>
        <w:t>Use custom assessment:</w:t>
      </w:r>
    </w:p>
    <w:tbl>
      <w:tblPr>
        <w:tblW w:w="7900" w:type="dxa"/>
        <w:tblCellMar>
          <w:left w:w="0" w:type="dxa"/>
          <w:right w:w="0" w:type="dxa"/>
        </w:tblCellMar>
        <w:tblLook w:val="04A0" w:firstRow="1" w:lastRow="0" w:firstColumn="1" w:lastColumn="0" w:noHBand="0" w:noVBand="1"/>
      </w:tblPr>
      <w:tblGrid>
        <w:gridCol w:w="1705"/>
        <w:gridCol w:w="6195"/>
      </w:tblGrid>
      <w:tr w:rsidR="009B11A5" w:rsidRPr="00F85CAB" w14:paraId="63F7BC43" w14:textId="77777777" w:rsidTr="0068762B">
        <w:trPr>
          <w:trHeight w:val="271"/>
        </w:trPr>
        <w:tc>
          <w:tcPr>
            <w:tcW w:w="17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4F76BF" w14:textId="77777777" w:rsidR="009B11A5" w:rsidRPr="0068762B" w:rsidRDefault="009B11A5" w:rsidP="00624B86">
            <w:pPr>
              <w:rPr>
                <w:bCs/>
              </w:rPr>
            </w:pPr>
            <w:r w:rsidRPr="0068762B">
              <w:rPr>
                <w:bCs/>
                <w:lang w:val="en-US"/>
              </w:rPr>
              <w:t>Self-report</w:t>
            </w:r>
          </w:p>
        </w:tc>
        <w:tc>
          <w:tcPr>
            <w:tcW w:w="61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8B458A" w14:textId="77777777" w:rsidR="009B11A5" w:rsidRPr="00F85CAB" w:rsidRDefault="009B11A5" w:rsidP="00624B86">
            <w:pPr>
              <w:rPr>
                <w:lang w:val="en-US"/>
              </w:rPr>
            </w:pPr>
            <w:r w:rsidRPr="00F85CAB">
              <w:rPr>
                <w:lang w:val="en-US"/>
              </w:rPr>
              <w:t>Have you been diagnosed with, and do you currently have, a obstructive sleep apnea syndrome?</w:t>
            </w:r>
            <w:r>
              <w:rPr>
                <w:lang w:val="en-US"/>
              </w:rPr>
              <w:t xml:space="preserve"> (yes / no)</w:t>
            </w:r>
          </w:p>
        </w:tc>
      </w:tr>
      <w:tr w:rsidR="009B11A5" w:rsidRPr="00F85CAB" w14:paraId="68B523BF" w14:textId="77777777" w:rsidTr="0068762B">
        <w:trPr>
          <w:trHeight w:val="40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FE3D5E" w14:textId="77777777" w:rsidR="009B11A5" w:rsidRPr="00F85CAB" w:rsidRDefault="009B11A5" w:rsidP="00624B86">
            <w:pPr>
              <w:rPr>
                <w:lang w:val="en-US"/>
              </w:rPr>
            </w:pPr>
          </w:p>
        </w:tc>
        <w:tc>
          <w:tcPr>
            <w:tcW w:w="61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850FA0" w14:textId="77777777" w:rsidR="009B11A5" w:rsidRPr="003853AE" w:rsidRDefault="009B11A5" w:rsidP="00624B86">
            <w:pPr>
              <w:rPr>
                <w:lang w:val="en-US"/>
              </w:rPr>
            </w:pPr>
            <w:r>
              <w:rPr>
                <w:lang w:val="en-US"/>
              </w:rPr>
              <w:t>Do you currently use a mechanical device to help you breathe at night (such as a positive airway pressure ventilator)? (yes / no)</w:t>
            </w:r>
          </w:p>
        </w:tc>
      </w:tr>
    </w:tbl>
    <w:p w14:paraId="08294031" w14:textId="77777777" w:rsidR="009B11A5" w:rsidRDefault="009B11A5" w:rsidP="009B11A5">
      <w:pPr>
        <w:rPr>
          <w:lang w:val="en-CA"/>
        </w:rPr>
      </w:pPr>
    </w:p>
    <w:p w14:paraId="319042A9" w14:textId="5BE72094" w:rsidR="009B11A5" w:rsidRPr="001F1452" w:rsidRDefault="009B11A5" w:rsidP="009B11A5">
      <w:pPr>
        <w:rPr>
          <w:lang w:val="en-CA"/>
        </w:rPr>
      </w:pPr>
      <w:r w:rsidRPr="001F1452">
        <w:rPr>
          <w:lang w:val="en-CA"/>
        </w:rPr>
        <w:lastRenderedPageBreak/>
        <w:t>Use STOP-BANG questionnaire for OSA risk</w:t>
      </w:r>
      <w:r>
        <w:rPr>
          <w:lang w:val="en-CA"/>
        </w:rPr>
        <w:t xml:space="preserve"> </w:t>
      </w:r>
      <w:r>
        <w:rPr>
          <w:lang w:val="en-CA"/>
        </w:rPr>
        <w:fldChar w:fldCharType="begin" w:fldLock="1"/>
      </w:r>
      <w:r w:rsidR="00F07B98">
        <w:rPr>
          <w:lang w:val="en-CA"/>
        </w:rPr>
        <w:instrText>ADDIN CSL_CITATION {"citationItems":[{"id":"ITEM-1","itemData":{"URL":"http://www.stopbang.ca/osa/screening.php#","accessed":{"date-parts":[["2019","3","27"]]},"id":"ITEM-1","issued":{"date-parts":[["0"]]},"title":"The Official STOP-Bang Questionnaire Website","type":"webpage"},"uris":["http://www.mendeley.com/documents/?uuid=4395af92-2022-338f-96e6-947458ecf989"]}],"mendeley":{"formattedCitation":"(15)","plainTextFormattedCitation":"(15)","previouslyFormattedCitation":"(“The Official STOP-Bang Questionnaire Website,” n.d.)"},"properties":{"noteIndex":0},"schema":"https://github.com/citation-style-language/schema/raw/master/csl-citation.json"}</w:instrText>
      </w:r>
      <w:r>
        <w:rPr>
          <w:lang w:val="en-CA"/>
        </w:rPr>
        <w:fldChar w:fldCharType="separate"/>
      </w:r>
      <w:r w:rsidR="00F07B98" w:rsidRPr="00F07B98">
        <w:rPr>
          <w:noProof/>
          <w:lang w:val="en-CA"/>
        </w:rPr>
        <w:t>(15)</w:t>
      </w:r>
      <w:r>
        <w:rPr>
          <w:lang w:val="en-CA"/>
        </w:rPr>
        <w:fldChar w:fldCharType="end"/>
      </w:r>
    </w:p>
    <w:p w14:paraId="065A2357" w14:textId="77777777" w:rsidR="009B11A5" w:rsidRPr="001F1452" w:rsidRDefault="009B11A5" w:rsidP="009B11A5">
      <w:pPr>
        <w:rPr>
          <w:lang w:val="en-CA"/>
        </w:rPr>
      </w:pPr>
      <w:r w:rsidRPr="001F1452">
        <w:rPr>
          <w:rFonts w:cstheme="minorHAnsi"/>
          <w:lang w:val="en-CA"/>
        </w:rPr>
        <w:t>Diagnosis of OSA with PSG relies on the use of the apnea-hypopnea index (AHI). International Diabetes Federation (IDF)</w:t>
      </w:r>
      <w:r w:rsidRPr="001F1452">
        <w:rPr>
          <w:lang w:val="en-CA"/>
        </w:rPr>
        <w:t xml:space="preserve"> classification</w:t>
      </w:r>
      <w:r w:rsidRPr="001F1452">
        <w:rPr>
          <w:rFonts w:cstheme="minorHAnsi"/>
          <w:lang w:val="en-CA"/>
        </w:rPr>
        <w:t>:</w:t>
      </w:r>
      <w:r w:rsidRPr="001F1452">
        <w:rPr>
          <w:lang w:val="en-CA"/>
        </w:rPr>
        <w:t xml:space="preserve"> AHI &lt; 5/h = no OSA, AHI 5-14 /h = mild OSA, IAH 15-30 /h = moderate OSA, IAH &gt; 30 /h = severe OSA.</w:t>
      </w:r>
    </w:p>
    <w:p w14:paraId="4B0A8131" w14:textId="77777777" w:rsidR="009B11A5" w:rsidRPr="0035208C" w:rsidRDefault="009B11A5" w:rsidP="009B11A5">
      <w:pPr>
        <w:rPr>
          <w:lang w:val="en-CA"/>
        </w:rPr>
      </w:pPr>
      <w:r>
        <w:rPr>
          <w:lang w:val="en-CA"/>
        </w:rPr>
        <w:t xml:space="preserve">In the expanded set, </w:t>
      </w:r>
      <w:r w:rsidRPr="0035208C">
        <w:rPr>
          <w:lang w:val="en-CA"/>
        </w:rPr>
        <w:t>complemen</w:t>
      </w:r>
      <w:r>
        <w:rPr>
          <w:lang w:val="en-CA"/>
        </w:rPr>
        <w:t>t</w:t>
      </w:r>
      <w:r w:rsidRPr="0035208C">
        <w:rPr>
          <w:lang w:val="en-CA"/>
        </w:rPr>
        <w:t xml:space="preserve"> this patient-reported sleep data with objective measures</w:t>
      </w:r>
      <w:r>
        <w:rPr>
          <w:lang w:val="en-CA"/>
        </w:rPr>
        <w:t>:</w:t>
      </w:r>
      <w:r w:rsidRPr="0035208C">
        <w:rPr>
          <w:lang w:val="en-CA"/>
        </w:rPr>
        <w:t xml:space="preserve"> using overnight PSG for quantifying sleep duration and quality as well as sleep apnea</w:t>
      </w:r>
      <w:r>
        <w:rPr>
          <w:lang w:val="en-CA"/>
        </w:rPr>
        <w:t>; or w</w:t>
      </w:r>
      <w:r w:rsidRPr="0035208C">
        <w:rPr>
          <w:lang w:val="en-CA"/>
        </w:rPr>
        <w:t>rist-worn actigraphy</w:t>
      </w:r>
      <w:r>
        <w:rPr>
          <w:lang w:val="en-CA"/>
        </w:rPr>
        <w:t>.</w:t>
      </w:r>
    </w:p>
    <w:p w14:paraId="6D0B24AB" w14:textId="77777777" w:rsidR="009B11A5" w:rsidRPr="00EE6D8B" w:rsidRDefault="009B11A5"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Stress and other psychological variables</w:t>
      </w:r>
    </w:p>
    <w:p w14:paraId="5F8A953A" w14:textId="77777777" w:rsidR="009B11A5" w:rsidRPr="00F210DC" w:rsidRDefault="009B11A5" w:rsidP="009B11A5">
      <w:pPr>
        <w:rPr>
          <w:i/>
          <w:lang w:val="en-CA"/>
        </w:rPr>
      </w:pPr>
      <w:r w:rsidRPr="001F1452">
        <w:rPr>
          <w:i/>
          <w:lang w:val="en-CA"/>
        </w:rPr>
        <w:t>Stress</w:t>
      </w:r>
    </w:p>
    <w:p w14:paraId="628BBB7E" w14:textId="77777777" w:rsidR="009B11A5" w:rsidRDefault="009B11A5" w:rsidP="009B11A5">
      <w:pPr>
        <w:rPr>
          <w:rStyle w:val="Lienhypertexte"/>
          <w:lang w:val="en-CA"/>
        </w:rPr>
      </w:pPr>
      <w:r>
        <w:rPr>
          <w:lang w:val="en-CA"/>
        </w:rPr>
        <w:t>Measure stress using the Perceived Stress Scale (PSS).</w:t>
      </w:r>
    </w:p>
    <w:p w14:paraId="2C41C954" w14:textId="77777777" w:rsidR="009B11A5" w:rsidRPr="00EE6D8B" w:rsidRDefault="009B11A5"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Anthropometry, body composition, and energy expenditure</w:t>
      </w:r>
    </w:p>
    <w:p w14:paraId="72D563AB" w14:textId="77777777" w:rsidR="009B11A5" w:rsidRDefault="009B11A5" w:rsidP="009B11A5">
      <w:pPr>
        <w:rPr>
          <w:lang w:val="en-CA"/>
        </w:rPr>
      </w:pPr>
      <w:r>
        <w:rPr>
          <w:lang w:val="en-CA"/>
        </w:rPr>
        <w:t>Measure anthropometric parameters as follows:</w:t>
      </w:r>
    </w:p>
    <w:p w14:paraId="7F5D943F" w14:textId="0E47D4EA" w:rsidR="009B11A5" w:rsidRDefault="009B11A5" w:rsidP="009B11A5">
      <w:pPr>
        <w:rPr>
          <w:lang w:val="en-CA"/>
        </w:rPr>
      </w:pPr>
      <w:r>
        <w:rPr>
          <w:lang w:val="en-CA"/>
        </w:rPr>
        <w:t>Body weight (kg) to the nearest 100 g</w:t>
      </w:r>
      <w:r w:rsidR="009E31AF">
        <w:rPr>
          <w:lang w:val="en-CA"/>
        </w:rPr>
        <w:t>;</w:t>
      </w:r>
      <w:r>
        <w:rPr>
          <w:lang w:val="en-CA"/>
        </w:rPr>
        <w:t>BMI (</w:t>
      </w:r>
      <w:r w:rsidRPr="00DA14E8">
        <w:rPr>
          <w:lang w:val="en-CA"/>
        </w:rPr>
        <w:t>kg/m</w:t>
      </w:r>
      <w:r w:rsidRPr="00DA14E8">
        <w:rPr>
          <w:vertAlign w:val="superscript"/>
          <w:lang w:val="en-CA"/>
        </w:rPr>
        <w:t>2</w:t>
      </w:r>
      <w:r w:rsidRPr="00DA14E8">
        <w:rPr>
          <w:lang w:val="en-CA"/>
        </w:rPr>
        <w:t>)</w:t>
      </w:r>
    </w:p>
    <w:p w14:paraId="440D4247" w14:textId="77777777" w:rsidR="009B11A5" w:rsidRDefault="009B11A5" w:rsidP="009B11A5">
      <w:pPr>
        <w:rPr>
          <w:lang w:val="en-CA"/>
        </w:rPr>
      </w:pPr>
      <w:r>
        <w:rPr>
          <w:lang w:val="en-CA"/>
        </w:rPr>
        <w:t>Height (m) to the nearest mm</w:t>
      </w:r>
      <w:r>
        <w:rPr>
          <w:lang w:val="en-CA"/>
        </w:rPr>
        <w:tab/>
      </w:r>
      <w:r>
        <w:rPr>
          <w:lang w:val="en-CA"/>
        </w:rPr>
        <w:tab/>
      </w:r>
      <w:r>
        <w:rPr>
          <w:lang w:val="en-CA"/>
        </w:rPr>
        <w:tab/>
      </w:r>
    </w:p>
    <w:p w14:paraId="4BB46E57" w14:textId="74BFCFD3" w:rsidR="009B11A5" w:rsidRDefault="009B11A5" w:rsidP="009B11A5">
      <w:pPr>
        <w:rPr>
          <w:lang w:val="en-CA"/>
        </w:rPr>
      </w:pPr>
      <w:r>
        <w:rPr>
          <w:lang w:val="en-CA"/>
        </w:rPr>
        <w:t>Waist circ</w:t>
      </w:r>
      <w:r w:rsidR="009E31AF">
        <w:rPr>
          <w:lang w:val="en-CA"/>
        </w:rPr>
        <w:t>umference</w:t>
      </w:r>
      <w:r>
        <w:rPr>
          <w:lang w:val="en-CA"/>
        </w:rPr>
        <w:t xml:space="preserve"> (cm)</w:t>
      </w:r>
      <w:r>
        <w:rPr>
          <w:lang w:val="en-CA"/>
        </w:rPr>
        <w:tab/>
      </w:r>
      <w:r>
        <w:rPr>
          <w:lang w:val="en-CA"/>
        </w:rPr>
        <w:tab/>
        <w:t>Waist-to-hip ratio WHR</w:t>
      </w:r>
    </w:p>
    <w:p w14:paraId="63F9E38F" w14:textId="7D94C20B" w:rsidR="009B11A5" w:rsidRDefault="009B11A5" w:rsidP="009B11A5">
      <w:pPr>
        <w:rPr>
          <w:lang w:val="en-CA"/>
        </w:rPr>
      </w:pPr>
      <w:r>
        <w:rPr>
          <w:lang w:val="en-CA"/>
        </w:rPr>
        <w:t>Hip circ</w:t>
      </w:r>
      <w:r w:rsidR="009E31AF">
        <w:rPr>
          <w:lang w:val="en-CA"/>
        </w:rPr>
        <w:t>umference</w:t>
      </w:r>
      <w:r>
        <w:rPr>
          <w:lang w:val="en-CA"/>
        </w:rPr>
        <w:t xml:space="preserve"> (cm)</w:t>
      </w:r>
      <w:r>
        <w:rPr>
          <w:lang w:val="en-CA"/>
        </w:rPr>
        <w:tab/>
      </w:r>
      <w:r>
        <w:rPr>
          <w:lang w:val="en-CA"/>
        </w:rPr>
        <w:tab/>
      </w:r>
      <w:r w:rsidR="009E31AF">
        <w:rPr>
          <w:lang w:val="en-CA"/>
        </w:rPr>
        <w:tab/>
      </w:r>
      <w:r>
        <w:rPr>
          <w:lang w:val="en-CA"/>
        </w:rPr>
        <w:t>Waist-to-height ratio WHtR</w:t>
      </w:r>
    </w:p>
    <w:p w14:paraId="049BCAA2" w14:textId="4EE50B85" w:rsidR="009B11A5" w:rsidRDefault="009B11A5" w:rsidP="009B11A5">
      <w:pPr>
        <w:rPr>
          <w:lang w:val="en-CA"/>
        </w:rPr>
      </w:pPr>
      <w:r>
        <w:rPr>
          <w:lang w:val="en-CA"/>
        </w:rPr>
        <w:t>Neck circ</w:t>
      </w:r>
      <w:r w:rsidR="009E31AF">
        <w:rPr>
          <w:lang w:val="en-CA"/>
        </w:rPr>
        <w:t>umference</w:t>
      </w:r>
      <w:r>
        <w:rPr>
          <w:lang w:val="en-CA"/>
        </w:rPr>
        <w:t xml:space="preserve"> (cm)</w:t>
      </w:r>
      <w:r>
        <w:rPr>
          <w:lang w:val="en-CA"/>
        </w:rPr>
        <w:tab/>
      </w:r>
      <w:r>
        <w:rPr>
          <w:lang w:val="en-CA"/>
        </w:rPr>
        <w:tab/>
        <w:t>Neck-to-height ratio NHtR</w:t>
      </w:r>
    </w:p>
    <w:p w14:paraId="67B9489E" w14:textId="77777777" w:rsidR="009B11A5" w:rsidRDefault="009B11A5" w:rsidP="009B11A5">
      <w:pPr>
        <w:rPr>
          <w:lang w:val="en-CA"/>
        </w:rPr>
      </w:pPr>
      <w:r>
        <w:rPr>
          <w:lang w:val="en-CA"/>
        </w:rPr>
        <w:t xml:space="preserve"> </w:t>
      </w:r>
    </w:p>
    <w:p w14:paraId="4A23D633" w14:textId="77777777" w:rsidR="009B11A5" w:rsidRDefault="009B11A5" w:rsidP="009B11A5">
      <w:pPr>
        <w:rPr>
          <w:lang w:val="en-CA"/>
        </w:rPr>
      </w:pPr>
      <w:r>
        <w:rPr>
          <w:lang w:val="en-CA"/>
        </w:rPr>
        <w:t>If the waist circumference exceeds the length of the tape, this fact should be recorded in the data collection form together with the maximum length of the tape.</w:t>
      </w:r>
    </w:p>
    <w:p w14:paraId="5BDD4595" w14:textId="77777777" w:rsidR="009B11A5" w:rsidRDefault="009B11A5" w:rsidP="009B11A5">
      <w:pPr>
        <w:rPr>
          <w:lang w:val="en-CA"/>
        </w:rPr>
      </w:pPr>
      <w:r w:rsidRPr="001F1452">
        <w:rPr>
          <w:iCs/>
          <w:lang w:val="en-CA"/>
        </w:rPr>
        <w:t>Hip circumference measurement</w:t>
      </w:r>
      <w:r>
        <w:rPr>
          <w:iCs/>
          <w:lang w:val="en-CA"/>
        </w:rPr>
        <w:t xml:space="preserve">: </w:t>
      </w:r>
      <w:r>
        <w:rPr>
          <w:lang w:val="en-CA"/>
        </w:rPr>
        <w:t xml:space="preserve">Hip circumference should be measured as the maximal circumference over the buttocks. </w:t>
      </w:r>
    </w:p>
    <w:p w14:paraId="52C343EA" w14:textId="77777777" w:rsidR="009B11A5" w:rsidRDefault="009B11A5" w:rsidP="009B11A5">
      <w:pPr>
        <w:rPr>
          <w:lang w:val="en-CA"/>
        </w:rPr>
      </w:pPr>
      <w:r>
        <w:rPr>
          <w:lang w:val="en-CA"/>
        </w:rPr>
        <w:t>If the hip circumference exceeds the length of the tape, this fact, together with the maximum length of the tape, should be recorded in the data collection form.</w:t>
      </w:r>
    </w:p>
    <w:p w14:paraId="2811393B" w14:textId="77777777" w:rsidR="009B11A5" w:rsidRDefault="009B11A5" w:rsidP="009B11A5">
      <w:pPr>
        <w:rPr>
          <w:lang w:val="en-CA"/>
        </w:rPr>
      </w:pPr>
      <w:r>
        <w:rPr>
          <w:lang w:val="en-CA"/>
        </w:rPr>
        <w:t>Basal metabolic rate</w:t>
      </w:r>
    </w:p>
    <w:p w14:paraId="37CD6261" w14:textId="77777777" w:rsidR="009B11A5" w:rsidRDefault="009B11A5" w:rsidP="009B11A5">
      <w:pPr>
        <w:rPr>
          <w:i/>
          <w:iCs/>
          <w:lang w:val="en-CA"/>
        </w:rPr>
      </w:pPr>
      <w:r>
        <w:rPr>
          <w:lang w:val="en-CA"/>
        </w:rPr>
        <w:t>In the expanded set, use the following e</w:t>
      </w:r>
      <w:r w:rsidRPr="001F1452">
        <w:rPr>
          <w:lang w:val="en-CA"/>
        </w:rPr>
        <w:t>nergy expenditure equations:</w:t>
      </w:r>
    </w:p>
    <w:p w14:paraId="5D43E3D3" w14:textId="77777777" w:rsidR="009B11A5" w:rsidRDefault="009B11A5" w:rsidP="009B11A5">
      <w:pPr>
        <w:rPr>
          <w:lang w:val="en-CA"/>
        </w:rPr>
      </w:pPr>
      <w:r>
        <w:rPr>
          <w:lang w:val="en-CA"/>
        </w:rPr>
        <w:t>Mifflin Jeor: Men 10 x weight (kg) + 6.25 x height (cm) – 5 x age (y) + 5; Women 10 x weight (kg) + 6.25 x height (cm) – 5 x age (y) – 161</w:t>
      </w:r>
    </w:p>
    <w:p w14:paraId="10880586" w14:textId="77777777" w:rsidR="009B11A5" w:rsidRDefault="009B11A5" w:rsidP="009B11A5">
      <w:pPr>
        <w:rPr>
          <w:lang w:val="en-CA"/>
        </w:rPr>
      </w:pPr>
      <w:r>
        <w:rPr>
          <w:lang w:val="en-CA"/>
        </w:rPr>
        <w:t>Harris Benedict: Men BMR = 66.5 + ( 13.75 × weight in kg ) + ( 5.003 × height in cm ) – ( 6.755 × age in years ); Women BMR = 655.1 + ( 9.563 × weight in kg ) + ( 1.850 × height in cm ) – ( 4.676 × age in years)</w:t>
      </w:r>
    </w:p>
    <w:p w14:paraId="4D48A06C" w14:textId="77777777" w:rsidR="009B11A5" w:rsidRDefault="009B11A5" w:rsidP="009B11A5">
      <w:pPr>
        <w:rPr>
          <w:lang w:val="en-CA"/>
        </w:rPr>
      </w:pPr>
      <w:r>
        <w:rPr>
          <w:lang w:val="en-CA"/>
        </w:rPr>
        <w:t>Cunninghams = 500 + 22 (lean body mass [LBM] in kg)</w:t>
      </w:r>
    </w:p>
    <w:p w14:paraId="763F38A8" w14:textId="77777777" w:rsidR="009B11A5" w:rsidRPr="00173405" w:rsidRDefault="009B11A5" w:rsidP="009B11A5">
      <w:pPr>
        <w:pStyle w:val="NormalWeb"/>
        <w:rPr>
          <w:rFonts w:asciiTheme="minorHAnsi" w:eastAsiaTheme="minorHAnsi" w:hAnsiTheme="minorHAnsi" w:cstheme="minorBidi"/>
          <w:sz w:val="22"/>
          <w:szCs w:val="22"/>
          <w:lang w:val="en-CA" w:eastAsia="en-US"/>
        </w:rPr>
      </w:pPr>
      <w:r w:rsidRPr="00173405">
        <w:rPr>
          <w:rFonts w:asciiTheme="minorHAnsi" w:eastAsiaTheme="minorHAnsi" w:hAnsiTheme="minorHAnsi" w:cstheme="minorBidi"/>
          <w:sz w:val="22"/>
          <w:szCs w:val="22"/>
          <w:lang w:val="en-CA" w:eastAsia="en-US"/>
        </w:rPr>
        <w:t>Owen = 655.096 + 1.8496 (height in cm) + 9.5634 (weight in kg) − 4.6759 (age)</w:t>
      </w:r>
    </w:p>
    <w:p w14:paraId="726D74AC" w14:textId="77777777" w:rsidR="009B11A5" w:rsidRPr="00173405" w:rsidRDefault="009B11A5" w:rsidP="009B11A5">
      <w:pPr>
        <w:pStyle w:val="NormalWeb"/>
        <w:rPr>
          <w:rFonts w:asciiTheme="minorHAnsi" w:eastAsiaTheme="minorHAnsi" w:hAnsiTheme="minorHAnsi" w:cstheme="minorBidi"/>
          <w:sz w:val="22"/>
          <w:szCs w:val="22"/>
          <w:lang w:val="en-CA" w:eastAsia="en-US"/>
        </w:rPr>
      </w:pPr>
      <w:r w:rsidRPr="00173405">
        <w:rPr>
          <w:rFonts w:asciiTheme="minorHAnsi" w:eastAsiaTheme="minorHAnsi" w:hAnsiTheme="minorHAnsi" w:cstheme="minorBidi"/>
          <w:sz w:val="22"/>
          <w:szCs w:val="22"/>
          <w:lang w:val="en-CA" w:eastAsia="en-US"/>
        </w:rPr>
        <w:lastRenderedPageBreak/>
        <w:t>Katch-McArdle = 370 + 21.6 (LBM in kg)</w:t>
      </w:r>
    </w:p>
    <w:p w14:paraId="6C21DD32" w14:textId="77777777" w:rsidR="009B11A5" w:rsidRDefault="009B11A5" w:rsidP="009B11A5">
      <w:pPr>
        <w:pStyle w:val="p"/>
        <w:rPr>
          <w:rFonts w:asciiTheme="minorHAnsi" w:eastAsiaTheme="minorHAnsi" w:hAnsiTheme="minorHAnsi" w:cstheme="minorBidi"/>
          <w:sz w:val="22"/>
          <w:szCs w:val="22"/>
          <w:lang w:val="en-CA" w:eastAsia="en-US"/>
        </w:rPr>
      </w:pPr>
      <w:r w:rsidRPr="00173405">
        <w:rPr>
          <w:rFonts w:asciiTheme="minorHAnsi" w:eastAsiaTheme="minorHAnsi" w:hAnsiTheme="minorHAnsi" w:cstheme="minorBidi"/>
          <w:sz w:val="22"/>
          <w:szCs w:val="22"/>
          <w:lang w:val="en-CA" w:eastAsia="en-US"/>
        </w:rPr>
        <w:t>Nelson = 25.80 (fat free mass in kg) +4.04 (fat mass in kg).</w:t>
      </w:r>
    </w:p>
    <w:p w14:paraId="6A2FCAF6" w14:textId="77777777" w:rsidR="009B11A5" w:rsidRPr="00EE6D8B" w:rsidRDefault="009B11A5"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Hormonal Status</w:t>
      </w:r>
    </w:p>
    <w:p w14:paraId="468A2CB0" w14:textId="77777777" w:rsidR="009B11A5" w:rsidRPr="00BF4F59" w:rsidRDefault="009B11A5" w:rsidP="009B11A5">
      <w:pPr>
        <w:rPr>
          <w:i/>
          <w:lang w:val="en-CA"/>
        </w:rPr>
      </w:pPr>
      <w:r w:rsidRPr="00BF4F59">
        <w:rPr>
          <w:i/>
          <w:lang w:val="en-CA"/>
        </w:rPr>
        <w:t>TSH</w:t>
      </w:r>
    </w:p>
    <w:p w14:paraId="3DE1364D" w14:textId="77777777" w:rsidR="009B11A5" w:rsidRDefault="009B11A5" w:rsidP="009B11A5">
      <w:pPr>
        <w:rPr>
          <w:lang w:val="en-CA"/>
        </w:rPr>
      </w:pPr>
      <w:r>
        <w:rPr>
          <w:lang w:val="en-CA"/>
        </w:rPr>
        <w:t>Take from serum sample; international standard for analysis. T</w:t>
      </w:r>
      <w:r w:rsidRPr="00085D68">
        <w:rPr>
          <w:lang w:val="en-CA"/>
        </w:rPr>
        <w:t>hird generation TSH assays</w:t>
      </w:r>
      <w:r>
        <w:rPr>
          <w:lang w:val="en-CA"/>
        </w:rPr>
        <w:t xml:space="preserve"> are the most </w:t>
      </w:r>
      <w:r w:rsidRPr="00085D68">
        <w:rPr>
          <w:lang w:val="en-CA"/>
        </w:rPr>
        <w:t>sensitive screening tool for primary hypothyroidism.</w:t>
      </w:r>
      <w:r>
        <w:rPr>
          <w:lang w:val="en-CA"/>
        </w:rPr>
        <w:t xml:space="preserve"> </w:t>
      </w:r>
      <w:r w:rsidRPr="00085D68">
        <w:rPr>
          <w:lang w:val="en-CA"/>
        </w:rPr>
        <w:t>If TSH levels are</w:t>
      </w:r>
      <w:r>
        <w:rPr>
          <w:lang w:val="en-CA"/>
        </w:rPr>
        <w:t xml:space="preserve"> </w:t>
      </w:r>
      <w:r w:rsidRPr="00085D68">
        <w:rPr>
          <w:lang w:val="en-CA"/>
        </w:rPr>
        <w:t>above the reference range, the</w:t>
      </w:r>
      <w:r>
        <w:rPr>
          <w:lang w:val="en-CA"/>
        </w:rPr>
        <w:t xml:space="preserve">n </w:t>
      </w:r>
      <w:r w:rsidRPr="00085D68">
        <w:rPr>
          <w:lang w:val="en-CA"/>
        </w:rPr>
        <w:t>measure free thyroxine (T4).</w:t>
      </w:r>
    </w:p>
    <w:p w14:paraId="03ED0410" w14:textId="694C33BC" w:rsidR="009B11A5" w:rsidRDefault="003458F3" w:rsidP="009B11A5">
      <w:pPr>
        <w:rPr>
          <w:i/>
          <w:lang w:val="en-CA"/>
        </w:rPr>
      </w:pPr>
      <w:r>
        <w:rPr>
          <w:i/>
          <w:lang w:val="en-CA"/>
        </w:rPr>
        <w:t>M</w:t>
      </w:r>
      <w:r w:rsidR="009B11A5" w:rsidRPr="00BF4F59">
        <w:rPr>
          <w:i/>
          <w:lang w:val="en-CA"/>
        </w:rPr>
        <w:t>enopausal status in females, current medications</w:t>
      </w:r>
    </w:p>
    <w:p w14:paraId="36C1965B" w14:textId="77777777" w:rsidR="009B11A5" w:rsidRDefault="009B11A5" w:rsidP="009B11A5">
      <w:pPr>
        <w:rPr>
          <w:lang w:val="en-CA"/>
        </w:rPr>
      </w:pPr>
      <w:r>
        <w:rPr>
          <w:lang w:val="en-CA"/>
        </w:rPr>
        <w:t xml:space="preserve">Use this custom questionnaire: </w:t>
      </w:r>
    </w:p>
    <w:tbl>
      <w:tblPr>
        <w:tblW w:w="7917" w:type="dxa"/>
        <w:tblCellMar>
          <w:left w:w="0" w:type="dxa"/>
          <w:right w:w="0" w:type="dxa"/>
        </w:tblCellMar>
        <w:tblLook w:val="0420" w:firstRow="1" w:lastRow="0" w:firstColumn="0" w:lastColumn="0" w:noHBand="0" w:noVBand="1"/>
      </w:tblPr>
      <w:tblGrid>
        <w:gridCol w:w="1311"/>
        <w:gridCol w:w="6606"/>
      </w:tblGrid>
      <w:tr w:rsidR="009B11A5" w:rsidRPr="00E11AC3" w14:paraId="53C6C729" w14:textId="77777777" w:rsidTr="0068762B">
        <w:trPr>
          <w:trHeight w:val="702"/>
        </w:trPr>
        <w:tc>
          <w:tcPr>
            <w:tcW w:w="0" w:type="auto"/>
            <w:vMerge w:val="restart"/>
            <w:tcBorders>
              <w:top w:val="single" w:sz="8" w:space="0" w:color="A5A5A5"/>
              <w:left w:val="single" w:sz="8" w:space="0" w:color="A5A5A5"/>
              <w:bottom w:val="single" w:sz="8" w:space="0" w:color="A5A5A5"/>
              <w:right w:val="single" w:sz="8" w:space="0" w:color="A5A5A5"/>
            </w:tcBorders>
            <w:shd w:val="clear" w:color="auto" w:fill="auto"/>
            <w:vAlign w:val="center"/>
            <w:hideMark/>
          </w:tcPr>
          <w:p w14:paraId="147739C3" w14:textId="6EBD45C5" w:rsidR="009B11A5" w:rsidRPr="00CA273A" w:rsidRDefault="003458F3" w:rsidP="0068762B">
            <w:pPr>
              <w:spacing w:after="0"/>
              <w:jc w:val="both"/>
              <w:rPr>
                <w:lang w:val="en-US"/>
              </w:rPr>
            </w:pPr>
            <w:r>
              <w:rPr>
                <w:lang w:val="en-US"/>
              </w:rPr>
              <w:t>Self-report</w:t>
            </w:r>
          </w:p>
        </w:tc>
        <w:tc>
          <w:tcPr>
            <w:tcW w:w="660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hideMark/>
          </w:tcPr>
          <w:p w14:paraId="3CEFBA31" w14:textId="77777777" w:rsidR="009B11A5" w:rsidRPr="0068762B" w:rsidRDefault="009B11A5" w:rsidP="00624B86">
            <w:pPr>
              <w:rPr>
                <w:lang w:val="en-CA"/>
              </w:rPr>
            </w:pPr>
            <w:r w:rsidRPr="0068762B">
              <w:rPr>
                <w:lang w:val="en-CA"/>
              </w:rPr>
              <w:t>(For females) Have you ceased menstruation? (yes / no)</w:t>
            </w:r>
          </w:p>
        </w:tc>
      </w:tr>
      <w:tr w:rsidR="009B11A5" w:rsidRPr="00BB42EB" w14:paraId="4D15E755" w14:textId="77777777" w:rsidTr="0068762B">
        <w:trPr>
          <w:trHeight w:val="702"/>
        </w:trPr>
        <w:tc>
          <w:tcPr>
            <w:tcW w:w="0" w:type="auto"/>
            <w:vMerge/>
            <w:tcBorders>
              <w:top w:val="single" w:sz="8" w:space="0" w:color="A5A5A5"/>
              <w:left w:val="single" w:sz="8" w:space="0" w:color="A5A5A5"/>
              <w:bottom w:val="single" w:sz="8" w:space="0" w:color="A5A5A5"/>
              <w:right w:val="single" w:sz="8" w:space="0" w:color="A5A5A5"/>
            </w:tcBorders>
            <w:shd w:val="clear" w:color="auto" w:fill="auto"/>
            <w:vAlign w:val="center"/>
            <w:hideMark/>
          </w:tcPr>
          <w:p w14:paraId="0BD3562D" w14:textId="77777777" w:rsidR="009B11A5" w:rsidRPr="00D45EC0" w:rsidRDefault="009B11A5" w:rsidP="00624B86"/>
        </w:tc>
        <w:tc>
          <w:tcPr>
            <w:tcW w:w="660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hideMark/>
          </w:tcPr>
          <w:p w14:paraId="459DAD80" w14:textId="77777777" w:rsidR="009B11A5" w:rsidRPr="0068762B" w:rsidRDefault="009B11A5" w:rsidP="00624B86">
            <w:pPr>
              <w:rPr>
                <w:lang w:val="en-US"/>
              </w:rPr>
            </w:pPr>
            <w:r w:rsidRPr="0068762B">
              <w:rPr>
                <w:lang w:val="en-US"/>
              </w:rPr>
              <w:t>Which medications do you currently take?</w:t>
            </w:r>
          </w:p>
        </w:tc>
      </w:tr>
    </w:tbl>
    <w:p w14:paraId="5C588DEE" w14:textId="77777777" w:rsidR="009B11A5" w:rsidRDefault="009B11A5" w:rsidP="009B11A5">
      <w:pPr>
        <w:rPr>
          <w:lang w:val="en-CA"/>
        </w:rPr>
      </w:pPr>
    </w:p>
    <w:p w14:paraId="4C49CC6F" w14:textId="77777777" w:rsidR="009B11A5" w:rsidRPr="00EE6D8B" w:rsidRDefault="009B11A5"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Diabetes</w:t>
      </w:r>
    </w:p>
    <w:p w14:paraId="4634AA85" w14:textId="77777777" w:rsidR="009B11A5" w:rsidRPr="005604DD" w:rsidRDefault="009B11A5" w:rsidP="009B11A5">
      <w:pPr>
        <w:rPr>
          <w:i/>
          <w:lang w:val="en-CA"/>
        </w:rPr>
      </w:pPr>
      <w:r w:rsidRPr="001F1452">
        <w:rPr>
          <w:i/>
          <w:lang w:val="en-CA"/>
        </w:rPr>
        <w:t>Fasting glycemia</w:t>
      </w:r>
    </w:p>
    <w:p w14:paraId="6D7E953E" w14:textId="77777777" w:rsidR="009B11A5" w:rsidRDefault="009B11A5" w:rsidP="009B11A5">
      <w:pPr>
        <w:rPr>
          <w:lang w:val="en-CA"/>
        </w:rPr>
      </w:pPr>
      <w:r>
        <w:rPr>
          <w:lang w:val="en-CA"/>
        </w:rPr>
        <w:t>Conduct two measurements of fasting plasma glucose (</w:t>
      </w:r>
      <w:r w:rsidRPr="00570EF6">
        <w:rPr>
          <w:lang w:val="en-CA"/>
        </w:rPr>
        <w:t>mg/dL</w:t>
      </w:r>
      <w:r>
        <w:rPr>
          <w:lang w:val="en-CA"/>
        </w:rPr>
        <w:t>) via blood sampling and assay. Minimum 8-hour fast.</w:t>
      </w:r>
    </w:p>
    <w:p w14:paraId="2C305F10" w14:textId="77777777" w:rsidR="009B11A5" w:rsidRDefault="009B11A5" w:rsidP="009B11A5">
      <w:pPr>
        <w:rPr>
          <w:i/>
          <w:lang w:val="en-CA"/>
        </w:rPr>
      </w:pPr>
      <w:r w:rsidRPr="001F1452">
        <w:rPr>
          <w:i/>
          <w:lang w:val="en-CA"/>
        </w:rPr>
        <w:t>HbA1c</w:t>
      </w:r>
    </w:p>
    <w:p w14:paraId="56BBC63F" w14:textId="77777777" w:rsidR="009B11A5" w:rsidRDefault="009B11A5" w:rsidP="009B11A5">
      <w:pPr>
        <w:rPr>
          <w:lang w:val="en-CA"/>
        </w:rPr>
      </w:pPr>
      <w:r>
        <w:rPr>
          <w:lang w:val="en-CA"/>
        </w:rPr>
        <w:t xml:space="preserve">Carry out blood sampling and assay using standardized procedures. HbA1c should be measured using only a standardised method (HPLC-CE or HPLC-MS). Use dried </w:t>
      </w:r>
      <w:r w:rsidRPr="004D63C4">
        <w:rPr>
          <w:lang w:val="en-CA"/>
        </w:rPr>
        <w:t>blood spots</w:t>
      </w:r>
      <w:r>
        <w:rPr>
          <w:lang w:val="en-CA"/>
        </w:rPr>
        <w:t xml:space="preserve"> as an alternative if necessary.</w:t>
      </w:r>
      <w:r w:rsidRPr="00987EF7">
        <w:rPr>
          <w:lang w:val="en-CA"/>
        </w:rPr>
        <w:t xml:space="preserve"> </w:t>
      </w:r>
    </w:p>
    <w:p w14:paraId="7CB14C21" w14:textId="77777777" w:rsidR="009B11A5" w:rsidRPr="001F1452" w:rsidRDefault="009B11A5" w:rsidP="009B11A5">
      <w:pPr>
        <w:rPr>
          <w:i/>
          <w:lang w:val="en-CA"/>
        </w:rPr>
      </w:pPr>
      <w:r w:rsidRPr="001F1452">
        <w:rPr>
          <w:i/>
          <w:lang w:val="en-CA"/>
        </w:rPr>
        <w:t>Fasting insulin (one measurement) and insulin-derived insulin sensitivity indices</w:t>
      </w:r>
    </w:p>
    <w:p w14:paraId="38C287BF" w14:textId="77777777" w:rsidR="009B11A5" w:rsidRDefault="009B11A5" w:rsidP="009B11A5">
      <w:pPr>
        <w:rPr>
          <w:lang w:val="en-CA"/>
        </w:rPr>
      </w:pPr>
      <w:r>
        <w:rPr>
          <w:lang w:val="en-CA"/>
        </w:rPr>
        <w:t>Carry out blood sampling &amp; assay and use the following calculations:</w:t>
      </w:r>
    </w:p>
    <w:p w14:paraId="19DE8AAC" w14:textId="77777777" w:rsidR="009B11A5" w:rsidRDefault="009B11A5" w:rsidP="009B11A5">
      <w:pPr>
        <w:rPr>
          <w:lang w:val="en-CA"/>
        </w:rPr>
      </w:pPr>
      <w:r>
        <w:rPr>
          <w:lang w:val="en-CA"/>
        </w:rPr>
        <w:t xml:space="preserve">                      Glucose x insulin</w:t>
      </w:r>
    </w:p>
    <w:p w14:paraId="097AABA0" w14:textId="77777777" w:rsidR="009B11A5" w:rsidRDefault="009B11A5" w:rsidP="009B11A5">
      <w:pPr>
        <w:rPr>
          <w:lang w:val="en-CA"/>
        </w:rPr>
      </w:pPr>
      <w:r>
        <w:rPr>
          <w:lang w:val="en-CA"/>
        </w:rPr>
        <w:t>HOMA-IR = -----------------------</w:t>
      </w:r>
    </w:p>
    <w:p w14:paraId="4216C303" w14:textId="77777777" w:rsidR="009B11A5" w:rsidRDefault="009B11A5" w:rsidP="009B11A5">
      <w:pPr>
        <w:rPr>
          <w:lang w:val="en-CA"/>
        </w:rPr>
      </w:pPr>
      <w:r>
        <w:rPr>
          <w:lang w:val="en-CA"/>
        </w:rPr>
        <w:t xml:space="preserve">                                   405</w:t>
      </w:r>
    </w:p>
    <w:p w14:paraId="7E44122B" w14:textId="77777777" w:rsidR="009B11A5" w:rsidRDefault="009B11A5" w:rsidP="009B11A5">
      <w:pPr>
        <w:rPr>
          <w:lang w:val="en-CA"/>
        </w:rPr>
      </w:pPr>
    </w:p>
    <w:p w14:paraId="1479F1C9" w14:textId="77777777" w:rsidR="009B11A5" w:rsidRDefault="009B11A5" w:rsidP="009B11A5">
      <w:pPr>
        <w:rPr>
          <w:lang w:val="en-CA"/>
        </w:rPr>
      </w:pPr>
      <w:r>
        <w:rPr>
          <w:lang w:val="en-CA"/>
        </w:rPr>
        <w:t xml:space="preserve">                     360 x insulin</w:t>
      </w:r>
    </w:p>
    <w:p w14:paraId="253D70BB" w14:textId="77777777" w:rsidR="009B11A5" w:rsidRDefault="009B11A5" w:rsidP="009B11A5">
      <w:pPr>
        <w:rPr>
          <w:lang w:val="en-CA"/>
        </w:rPr>
      </w:pPr>
      <w:r>
        <w:rPr>
          <w:lang w:val="en-CA"/>
        </w:rPr>
        <w:t>HOMA-ß = ------------------- %</w:t>
      </w:r>
    </w:p>
    <w:p w14:paraId="411A7F10" w14:textId="77777777" w:rsidR="009B11A5" w:rsidRDefault="009B11A5" w:rsidP="009B11A5">
      <w:pPr>
        <w:rPr>
          <w:lang w:val="en-CA"/>
        </w:rPr>
      </w:pPr>
      <w:r>
        <w:rPr>
          <w:lang w:val="en-CA"/>
        </w:rPr>
        <w:t xml:space="preserve">                     Glucose - 63</w:t>
      </w:r>
    </w:p>
    <w:p w14:paraId="30896D71" w14:textId="322A364F" w:rsidR="009B11A5" w:rsidRDefault="009B11A5" w:rsidP="009B11A5">
      <w:pPr>
        <w:rPr>
          <w:lang w:val="en-CA"/>
        </w:rPr>
      </w:pPr>
      <w:r>
        <w:rPr>
          <w:lang w:val="en-CA"/>
        </w:rPr>
        <w:lastRenderedPageBreak/>
        <w:t>Both glucose and insulin should be measured during fasting (at least for 8 hours). Glucose is given in mg/dl, insulin in µU/ml.</w:t>
      </w:r>
    </w:p>
    <w:tbl>
      <w:tblPr>
        <w:tblW w:w="7917" w:type="dxa"/>
        <w:tblCellMar>
          <w:left w:w="0" w:type="dxa"/>
          <w:right w:w="0" w:type="dxa"/>
        </w:tblCellMar>
        <w:tblLook w:val="0420" w:firstRow="1" w:lastRow="0" w:firstColumn="0" w:lastColumn="0" w:noHBand="0" w:noVBand="1"/>
      </w:tblPr>
      <w:tblGrid>
        <w:gridCol w:w="1311"/>
        <w:gridCol w:w="6606"/>
      </w:tblGrid>
      <w:tr w:rsidR="00513571" w:rsidRPr="00F85CAB" w14:paraId="3DB8B327" w14:textId="77777777" w:rsidTr="0068762B">
        <w:trPr>
          <w:trHeight w:val="859"/>
        </w:trPr>
        <w:tc>
          <w:tcPr>
            <w:tcW w:w="1311"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hideMark/>
          </w:tcPr>
          <w:p w14:paraId="742A9694" w14:textId="77777777" w:rsidR="00513571" w:rsidRPr="0068762B" w:rsidRDefault="00513571" w:rsidP="004A5ABC">
            <w:pPr>
              <w:rPr>
                <w:bCs/>
              </w:rPr>
            </w:pPr>
            <w:r w:rsidRPr="0068762B">
              <w:rPr>
                <w:bCs/>
                <w:lang w:val="en-US"/>
              </w:rPr>
              <w:t>Self-report</w:t>
            </w:r>
          </w:p>
        </w:tc>
        <w:tc>
          <w:tcPr>
            <w:tcW w:w="660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hideMark/>
          </w:tcPr>
          <w:p w14:paraId="20DF9DE2" w14:textId="77777777" w:rsidR="00513571" w:rsidRPr="00B64A16" w:rsidRDefault="00513571" w:rsidP="004A5ABC">
            <w:pPr>
              <w:rPr>
                <w:lang w:val="en-CA"/>
              </w:rPr>
            </w:pPr>
            <w:r w:rsidRPr="00501B91">
              <w:rPr>
                <w:lang w:val="en-CA"/>
              </w:rPr>
              <w:t>Does a parent or anyone in your immediate family have type 2 diabetes? (yes / no)</w:t>
            </w:r>
          </w:p>
        </w:tc>
      </w:tr>
    </w:tbl>
    <w:p w14:paraId="18724E17" w14:textId="77777777" w:rsidR="00513571" w:rsidRPr="00C413BB" w:rsidRDefault="00513571" w:rsidP="009B11A5">
      <w:pPr>
        <w:rPr>
          <w:lang w:val="en-CA"/>
        </w:rPr>
      </w:pPr>
    </w:p>
    <w:p w14:paraId="23385FB8" w14:textId="77777777" w:rsidR="009B11A5" w:rsidRPr="00EE6D8B" w:rsidRDefault="009B11A5"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Cardiovascular Risk</w:t>
      </w:r>
    </w:p>
    <w:p w14:paraId="44BCDD40" w14:textId="77777777" w:rsidR="009B11A5" w:rsidRPr="00BF4F59" w:rsidRDefault="009B11A5" w:rsidP="009B11A5">
      <w:pPr>
        <w:rPr>
          <w:i/>
          <w:lang w:val="en-CA"/>
        </w:rPr>
      </w:pPr>
      <w:r w:rsidRPr="00BF4F59">
        <w:rPr>
          <w:i/>
          <w:lang w:val="en-CA"/>
        </w:rPr>
        <w:t>Smoking status</w:t>
      </w:r>
    </w:p>
    <w:p w14:paraId="1C80BE10" w14:textId="77777777" w:rsidR="009B11A5" w:rsidRDefault="009B11A5" w:rsidP="009B11A5">
      <w:pPr>
        <w:rPr>
          <w:lang w:val="en-CA"/>
        </w:rPr>
      </w:pPr>
      <w:r>
        <w:rPr>
          <w:lang w:val="en-CA"/>
        </w:rPr>
        <w:t xml:space="preserve">Use this custom questionnaire: </w:t>
      </w:r>
    </w:p>
    <w:tbl>
      <w:tblPr>
        <w:tblW w:w="7900" w:type="dxa"/>
        <w:tblCellMar>
          <w:left w:w="0" w:type="dxa"/>
          <w:right w:w="0" w:type="dxa"/>
        </w:tblCellMar>
        <w:tblLook w:val="04A0" w:firstRow="1" w:lastRow="0" w:firstColumn="1" w:lastColumn="0" w:noHBand="0" w:noVBand="1"/>
      </w:tblPr>
      <w:tblGrid>
        <w:gridCol w:w="1705"/>
        <w:gridCol w:w="6195"/>
      </w:tblGrid>
      <w:tr w:rsidR="009B11A5" w:rsidRPr="00BB42EB" w14:paraId="05F81309" w14:textId="77777777" w:rsidTr="0068762B">
        <w:trPr>
          <w:trHeight w:val="271"/>
        </w:trPr>
        <w:tc>
          <w:tcPr>
            <w:tcW w:w="17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082F2D" w14:textId="77777777" w:rsidR="009B11A5" w:rsidRPr="0068762B" w:rsidRDefault="009B11A5" w:rsidP="00624B86">
            <w:pPr>
              <w:rPr>
                <w:bCs/>
              </w:rPr>
            </w:pPr>
            <w:r w:rsidRPr="0068762B">
              <w:rPr>
                <w:bCs/>
                <w:lang w:val="en-US"/>
              </w:rPr>
              <w:t>Self-report</w:t>
            </w:r>
          </w:p>
        </w:tc>
        <w:tc>
          <w:tcPr>
            <w:tcW w:w="61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069023" w14:textId="77777777" w:rsidR="009B11A5" w:rsidRDefault="009B11A5" w:rsidP="00624B86">
            <w:pPr>
              <w:rPr>
                <w:lang w:val="en-CA"/>
              </w:rPr>
            </w:pPr>
            <w:r>
              <w:rPr>
                <w:lang w:val="en-CA"/>
              </w:rPr>
              <w:t>How many cigarettes a day do you smoke, on average?</w:t>
            </w:r>
          </w:p>
          <w:p w14:paraId="19D470CC" w14:textId="77777777" w:rsidR="009B11A5" w:rsidRPr="00F85CAB" w:rsidRDefault="009B11A5" w:rsidP="00624B86">
            <w:pPr>
              <w:rPr>
                <w:lang w:val="en-US"/>
              </w:rPr>
            </w:pPr>
          </w:p>
        </w:tc>
      </w:tr>
      <w:tr w:rsidR="009B11A5" w:rsidRPr="00BB42EB" w14:paraId="7E3DC82C" w14:textId="77777777" w:rsidTr="0068762B">
        <w:trPr>
          <w:trHeight w:val="40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FEFA57" w14:textId="77777777" w:rsidR="009B11A5" w:rsidRPr="00F85CAB" w:rsidRDefault="009B11A5" w:rsidP="00624B86">
            <w:pPr>
              <w:rPr>
                <w:lang w:val="en-US"/>
              </w:rPr>
            </w:pPr>
          </w:p>
        </w:tc>
        <w:tc>
          <w:tcPr>
            <w:tcW w:w="61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D6ACAE" w14:textId="77777777" w:rsidR="009B11A5" w:rsidRDefault="009B11A5" w:rsidP="00624B86">
            <w:pPr>
              <w:rPr>
                <w:lang w:val="en-CA"/>
              </w:rPr>
            </w:pPr>
            <w:r>
              <w:rPr>
                <w:lang w:val="en-CA"/>
              </w:rPr>
              <w:t>For how long have you had a habit of smoking?</w:t>
            </w:r>
          </w:p>
          <w:p w14:paraId="2EAB5738" w14:textId="77777777" w:rsidR="009B11A5" w:rsidRPr="003853AE" w:rsidRDefault="009B11A5" w:rsidP="00624B86">
            <w:pPr>
              <w:rPr>
                <w:lang w:val="en-US"/>
              </w:rPr>
            </w:pPr>
          </w:p>
        </w:tc>
      </w:tr>
    </w:tbl>
    <w:p w14:paraId="23352F1B" w14:textId="77777777" w:rsidR="009B11A5" w:rsidRDefault="009B11A5" w:rsidP="009B11A5">
      <w:pPr>
        <w:rPr>
          <w:i/>
          <w:lang w:val="en-CA"/>
        </w:rPr>
      </w:pPr>
    </w:p>
    <w:p w14:paraId="4A5CE0AC" w14:textId="77777777" w:rsidR="009B11A5" w:rsidRPr="00310F1A" w:rsidRDefault="009B11A5" w:rsidP="009B11A5">
      <w:pPr>
        <w:rPr>
          <w:i/>
          <w:lang w:val="en-CA"/>
        </w:rPr>
      </w:pPr>
      <w:r w:rsidRPr="00BF4F59">
        <w:rPr>
          <w:i/>
          <w:lang w:val="en-CA"/>
        </w:rPr>
        <w:t>Blood pressure  &amp; heart rate</w:t>
      </w:r>
    </w:p>
    <w:p w14:paraId="6823F35C" w14:textId="67149D98" w:rsidR="009B11A5" w:rsidRDefault="009B11A5" w:rsidP="009B11A5">
      <w:pPr>
        <w:rPr>
          <w:lang w:val="en-CA"/>
        </w:rPr>
      </w:pPr>
      <w:r>
        <w:rPr>
          <w:lang w:val="en-CA"/>
        </w:rPr>
        <w:t>Assess via clinical examination; validated automatic blood pressure device (Omron). T</w:t>
      </w:r>
      <w:r w:rsidR="00870F18">
        <w:rPr>
          <w:lang w:val="en-CA"/>
        </w:rPr>
        <w:t>ake t</w:t>
      </w:r>
      <w:r>
        <w:rPr>
          <w:lang w:val="en-CA"/>
        </w:rPr>
        <w:t>hree</w:t>
      </w:r>
      <w:r w:rsidRPr="004459EA">
        <w:rPr>
          <w:lang w:val="en-CA"/>
        </w:rPr>
        <w:t xml:space="preserve"> </w:t>
      </w:r>
      <w:r>
        <w:rPr>
          <w:lang w:val="en-CA"/>
        </w:rPr>
        <w:t xml:space="preserve">repeated </w:t>
      </w:r>
      <w:r w:rsidRPr="004459EA">
        <w:rPr>
          <w:lang w:val="en-CA"/>
        </w:rPr>
        <w:t>measurements</w:t>
      </w:r>
      <w:r>
        <w:rPr>
          <w:lang w:val="en-CA"/>
        </w:rPr>
        <w:t xml:space="preserve"> in</w:t>
      </w:r>
      <w:r w:rsidRPr="004459EA">
        <w:rPr>
          <w:lang w:val="en-CA"/>
        </w:rPr>
        <w:t xml:space="preserve"> </w:t>
      </w:r>
      <w:r w:rsidR="00870F18">
        <w:rPr>
          <w:lang w:val="en-CA"/>
        </w:rPr>
        <w:t xml:space="preserve">a </w:t>
      </w:r>
      <w:r>
        <w:rPr>
          <w:lang w:val="en-CA"/>
        </w:rPr>
        <w:t>s</w:t>
      </w:r>
      <w:r w:rsidRPr="004459EA">
        <w:rPr>
          <w:lang w:val="en-CA"/>
        </w:rPr>
        <w:t xml:space="preserve">itting position; </w:t>
      </w:r>
      <w:r w:rsidR="00870F18">
        <w:rPr>
          <w:lang w:val="en-CA"/>
        </w:rPr>
        <w:t xml:space="preserve">in a </w:t>
      </w:r>
      <w:r>
        <w:rPr>
          <w:lang w:val="en-CA"/>
        </w:rPr>
        <w:t>c</w:t>
      </w:r>
      <w:r w:rsidRPr="004459EA">
        <w:rPr>
          <w:lang w:val="en-CA"/>
        </w:rPr>
        <w:t>o</w:t>
      </w:r>
      <w:r>
        <w:rPr>
          <w:lang w:val="en-CA"/>
        </w:rPr>
        <w:t>m</w:t>
      </w:r>
      <w:r w:rsidRPr="004459EA">
        <w:rPr>
          <w:lang w:val="en-CA"/>
        </w:rPr>
        <w:t>fortable environment</w:t>
      </w:r>
      <w:r>
        <w:rPr>
          <w:lang w:val="en-CA"/>
        </w:rPr>
        <w:t>.</w:t>
      </w:r>
    </w:p>
    <w:p w14:paraId="463BF833" w14:textId="77777777" w:rsidR="009B11A5" w:rsidRDefault="009B11A5" w:rsidP="009B11A5">
      <w:pPr>
        <w:rPr>
          <w:i/>
          <w:lang w:val="en-CA"/>
        </w:rPr>
      </w:pPr>
      <w:r w:rsidRPr="00BF4F59">
        <w:rPr>
          <w:i/>
          <w:lang w:val="en-CA"/>
        </w:rPr>
        <w:t>Total cholesterol, HDL cholesterol, triglyceride</w:t>
      </w:r>
    </w:p>
    <w:p w14:paraId="05AD85F6" w14:textId="77777777" w:rsidR="009B11A5" w:rsidRPr="004459EA" w:rsidRDefault="009B11A5" w:rsidP="009B11A5">
      <w:pPr>
        <w:rPr>
          <w:lang w:val="en-CA"/>
        </w:rPr>
      </w:pPr>
      <w:r>
        <w:rPr>
          <w:lang w:val="en-CA"/>
        </w:rPr>
        <w:t>Carry out blood sampling using a robust assay. Ensure c</w:t>
      </w:r>
      <w:r w:rsidRPr="004459EA">
        <w:rPr>
          <w:lang w:val="en-CA"/>
        </w:rPr>
        <w:t>entral lab stora</w:t>
      </w:r>
      <w:r>
        <w:rPr>
          <w:lang w:val="en-CA"/>
        </w:rPr>
        <w:t>g</w:t>
      </w:r>
      <w:r w:rsidRPr="004459EA">
        <w:rPr>
          <w:lang w:val="en-CA"/>
        </w:rPr>
        <w:t xml:space="preserve">e. </w:t>
      </w:r>
    </w:p>
    <w:p w14:paraId="6CF8E224" w14:textId="77777777" w:rsidR="009B11A5" w:rsidRPr="00F21382" w:rsidRDefault="009B11A5" w:rsidP="009B11A5">
      <w:pPr>
        <w:rPr>
          <w:i/>
          <w:lang w:val="en-CA"/>
        </w:rPr>
      </w:pPr>
      <w:r>
        <w:rPr>
          <w:i/>
          <w:lang w:val="en-CA"/>
        </w:rPr>
        <w:t xml:space="preserve">High-sensitivity </w:t>
      </w:r>
      <w:r w:rsidRPr="00BF4F59">
        <w:rPr>
          <w:i/>
          <w:lang w:val="en-CA"/>
        </w:rPr>
        <w:t>C-reactive protein</w:t>
      </w:r>
      <w:r>
        <w:rPr>
          <w:i/>
          <w:lang w:val="en-CA"/>
        </w:rPr>
        <w:t xml:space="preserve"> (hs-CRP)</w:t>
      </w:r>
    </w:p>
    <w:p w14:paraId="23086CA0" w14:textId="77777777" w:rsidR="009B11A5" w:rsidRPr="001A4473" w:rsidRDefault="009B11A5" w:rsidP="009B11A5">
      <w:pPr>
        <w:rPr>
          <w:lang w:val="en-CA"/>
        </w:rPr>
      </w:pPr>
      <w:r>
        <w:rPr>
          <w:lang w:val="en-CA"/>
        </w:rPr>
        <w:t xml:space="preserve">Assess </w:t>
      </w:r>
      <w:r w:rsidRPr="001A4473">
        <w:rPr>
          <w:lang w:val="en-CA"/>
        </w:rPr>
        <w:t>h</w:t>
      </w:r>
      <w:r>
        <w:rPr>
          <w:lang w:val="en-CA"/>
        </w:rPr>
        <w:t>s</w:t>
      </w:r>
      <w:r w:rsidRPr="001A4473">
        <w:rPr>
          <w:lang w:val="en-CA"/>
        </w:rPr>
        <w:t>CRP using</w:t>
      </w:r>
      <w:r>
        <w:rPr>
          <w:lang w:val="en-CA"/>
        </w:rPr>
        <w:t xml:space="preserve"> an </w:t>
      </w:r>
      <w:r w:rsidRPr="0087757A">
        <w:rPr>
          <w:lang w:val="en-CA"/>
        </w:rPr>
        <w:t xml:space="preserve">automated immunonephelometric or immunoturbidimetric or immunoluminometric assay. </w:t>
      </w:r>
      <w:r w:rsidRPr="001A4473">
        <w:rPr>
          <w:lang w:val="en-CA"/>
        </w:rPr>
        <w:t xml:space="preserve"> </w:t>
      </w:r>
    </w:p>
    <w:p w14:paraId="3191F4EB" w14:textId="77777777" w:rsidR="00AC50A8" w:rsidRDefault="00AC50A8" w:rsidP="009B11A5">
      <w:pPr>
        <w:rPr>
          <w:i/>
          <w:lang w:val="en-US"/>
        </w:rPr>
      </w:pPr>
      <w:r>
        <w:rPr>
          <w:i/>
          <w:lang w:val="en-US"/>
        </w:rPr>
        <w:t>Heart electrical activity</w:t>
      </w:r>
    </w:p>
    <w:p w14:paraId="153BFF2F" w14:textId="3C71963B" w:rsidR="009B11A5" w:rsidRPr="00AC50A8" w:rsidRDefault="00AC50A8" w:rsidP="009B11A5">
      <w:pPr>
        <w:rPr>
          <w:iCs/>
          <w:lang w:val="en-US"/>
        </w:rPr>
      </w:pPr>
      <w:r w:rsidRPr="00AC50A8">
        <w:rPr>
          <w:iCs/>
          <w:lang w:val="en-US"/>
        </w:rPr>
        <w:t>Carry out 1</w:t>
      </w:r>
      <w:r w:rsidR="009B11A5" w:rsidRPr="00AC50A8">
        <w:rPr>
          <w:iCs/>
          <w:lang w:val="en-US"/>
        </w:rPr>
        <w:t>-5 minute ECG</w:t>
      </w:r>
    </w:p>
    <w:p w14:paraId="39B9655F" w14:textId="77777777" w:rsidR="009B11A5" w:rsidRPr="005216F9" w:rsidRDefault="009B11A5" w:rsidP="009B11A5">
      <w:pPr>
        <w:rPr>
          <w:lang w:val="en-US"/>
        </w:rPr>
      </w:pPr>
      <w:r w:rsidRPr="005216F9">
        <w:rPr>
          <w:lang w:val="en-US"/>
        </w:rPr>
        <w:t>Measure HR, QTc, and QT dispersion as</w:t>
      </w:r>
    </w:p>
    <w:p w14:paraId="1872C94D" w14:textId="77777777" w:rsidR="009B11A5" w:rsidRPr="0075337A" w:rsidRDefault="009B11A5" w:rsidP="009B11A5">
      <w:r w:rsidRPr="0075337A">
        <w:t>QTc diff</w:t>
      </w:r>
      <w:r>
        <w:t>, normal value</w:t>
      </w:r>
      <w:r w:rsidRPr="0075337A">
        <w:t xml:space="preserve"> -25.8 msec,</w:t>
      </w:r>
    </w:p>
    <w:p w14:paraId="06A15602" w14:textId="77777777" w:rsidR="009B11A5" w:rsidRPr="0075337A" w:rsidRDefault="009B11A5" w:rsidP="009B11A5">
      <w:r w:rsidRPr="0075337A">
        <w:t>95% CI: -28.3/-23.2</w:t>
      </w:r>
    </w:p>
    <w:p w14:paraId="766D45B1" w14:textId="77777777" w:rsidR="009B11A5" w:rsidRPr="00536680" w:rsidRDefault="009B11A5" w:rsidP="009B11A5">
      <w:r w:rsidRPr="00536680">
        <w:t>N=30-100</w:t>
      </w:r>
    </w:p>
    <w:p w14:paraId="591795A1" w14:textId="2151AC52" w:rsidR="009B11A5" w:rsidRDefault="00945725" w:rsidP="009B11A5">
      <w:pPr>
        <w:rPr>
          <w:i/>
          <w:lang w:val="en-CA"/>
        </w:rPr>
      </w:pPr>
      <w:r>
        <w:rPr>
          <w:i/>
          <w:lang w:val="en-CA"/>
        </w:rPr>
        <w:t>Cardiorespiratory fitness</w:t>
      </w:r>
    </w:p>
    <w:p w14:paraId="78D424EA" w14:textId="22348A09" w:rsidR="009B11A5" w:rsidRDefault="009B11A5" w:rsidP="009B11A5">
      <w:pPr>
        <w:rPr>
          <w:lang w:val="en-CA"/>
        </w:rPr>
      </w:pPr>
      <w:r>
        <w:rPr>
          <w:lang w:val="en-CA"/>
        </w:rPr>
        <w:t xml:space="preserve">Carry out </w:t>
      </w:r>
      <w:r w:rsidR="00945725">
        <w:rPr>
          <w:lang w:val="en-CA"/>
        </w:rPr>
        <w:t xml:space="preserve">6-minute walk test </w:t>
      </w:r>
      <w:r>
        <w:rPr>
          <w:lang w:val="en-CA"/>
        </w:rPr>
        <w:t xml:space="preserve">using protocols in </w:t>
      </w:r>
      <w:r>
        <w:rPr>
          <w:lang w:val="en-CA"/>
        </w:rPr>
        <w:fldChar w:fldCharType="begin" w:fldLock="1"/>
      </w:r>
      <w:r w:rsidR="00F07B98">
        <w:rPr>
          <w:lang w:val="en-CA"/>
        </w:rPr>
        <w:instrText>ADDIN CSL_CITATION {"citationItems":[{"id":"ITEM-1","itemData":{"DOI":"10.1164/ajrccm.166.1.at1102","ISSN":"1073-449X","container-title":"American Journal of Respiratory and Critical Care Medicine","id":"ITEM-1","issue":"1","issued":{"date-parts":[["2002","7","20"]]},"page":"111-117","publisher":"American Thoracic Society","title":"ATS Statement","type":"article-journal","volume":"166"},"uris":["http://www.mendeley.com/documents/?uuid=c7bfb283-37c2-37bf-afaf-b8ca88f3b523"]}],"mendeley":{"formattedCitation":"(16)","manualFormatting":"“ATS Statement,” 2002","plainTextFormattedCitation":"(16)","previouslyFormattedCitation":"(“ATS Statement,” 2002)"},"properties":{"noteIndex":0},"schema":"https://github.com/citation-style-language/schema/raw/master/csl-citation.json"}</w:instrText>
      </w:r>
      <w:r>
        <w:rPr>
          <w:lang w:val="en-CA"/>
        </w:rPr>
        <w:fldChar w:fldCharType="separate"/>
      </w:r>
      <w:r w:rsidRPr="00C27E64">
        <w:rPr>
          <w:noProof/>
          <w:lang w:val="en-CA"/>
        </w:rPr>
        <w:t>“ATS Statement,” 2002</w:t>
      </w:r>
      <w:r>
        <w:rPr>
          <w:lang w:val="en-CA"/>
        </w:rPr>
        <w:fldChar w:fldCharType="end"/>
      </w:r>
      <w:r>
        <w:rPr>
          <w:lang w:val="en-CA"/>
        </w:rPr>
        <w:t>.</w:t>
      </w:r>
    </w:p>
    <w:p w14:paraId="7D9926A1" w14:textId="77777777" w:rsidR="009B11A5" w:rsidRDefault="009B11A5" w:rsidP="009B11A5">
      <w:pPr>
        <w:rPr>
          <w:lang w:val="en-CA"/>
        </w:rPr>
      </w:pPr>
      <w:r>
        <w:rPr>
          <w:lang w:val="en-CA"/>
        </w:rPr>
        <w:t>In the expanded set of variables,</w:t>
      </w:r>
      <w:r w:rsidRPr="009E765A">
        <w:rPr>
          <w:lang w:val="en-CA"/>
        </w:rPr>
        <w:t xml:space="preserve"> </w:t>
      </w:r>
      <w:r>
        <w:rPr>
          <w:lang w:val="en-CA"/>
        </w:rPr>
        <w:t xml:space="preserve">trials may include </w:t>
      </w:r>
      <w:r w:rsidRPr="00A83EEC">
        <w:rPr>
          <w:lang w:val="en-CA"/>
        </w:rPr>
        <w:t>markers of endothelial function</w:t>
      </w:r>
      <w:r>
        <w:rPr>
          <w:lang w:val="en-CA"/>
        </w:rPr>
        <w:t>/ arterial stiffness:</w:t>
      </w:r>
    </w:p>
    <w:p w14:paraId="776BF7FB" w14:textId="35C704A2" w:rsidR="009B11A5" w:rsidRDefault="009B11A5" w:rsidP="009B11A5">
      <w:pPr>
        <w:pStyle w:val="Paragraphedeliste"/>
        <w:numPr>
          <w:ilvl w:val="0"/>
          <w:numId w:val="9"/>
        </w:numPr>
        <w:rPr>
          <w:lang w:val="en-CA"/>
        </w:rPr>
      </w:pPr>
      <w:r w:rsidRPr="00BF4F59">
        <w:rPr>
          <w:lang w:val="en-CA"/>
        </w:rPr>
        <w:lastRenderedPageBreak/>
        <w:t xml:space="preserve">Flow-mediated dilatation (FMD) provides additional, independent prognostic value beyond the classic CVD risk factors </w:t>
      </w:r>
      <w:r w:rsidRPr="00BF4F59">
        <w:rPr>
          <w:lang w:val="en-CA"/>
        </w:rPr>
        <w:fldChar w:fldCharType="begin" w:fldLock="1"/>
      </w:r>
      <w:r w:rsidR="00F07B98">
        <w:rPr>
          <w:lang w:val="en-CA"/>
        </w:rPr>
        <w:instrText>ADDIN CSL_CITATION {"citationItems":[{"id":"ITEM-1","itemData":{"DOI":"10.1161/CIRCULATIONAHA.106.678276","ISSN":"0009-7322","PMID":"17452608","abstract":"BACKGROUND The relationship between impaired brachial flow-mediated dilation (FMD) and subsequent clinical cardiovascular events is not well established, especially in older adults whose FMD is often diminished. We assessed the hypothesis that FMD predicts incident cardiovascular events in a population-based cohort of older adults. METHODS AND RESULTS FMD was measured at the 1997 to 1998 Cardiovascular Health Study clinic visit in 2792 adults aged 72 to 98 years (82.7% white, 58.6% women) recruited at 4 clinic sites in the United States. Log-rank test and Cox proportional hazard models were used to examine the association between FMD and adjudicated cardiovascular events. A total of 674 subjects (24.1%) had an adjudicated event over the 5-year follow-up period. Event-free survival rates for cardiovascular events were significantly higher in subjects with FMD greater than the sex-specific medians than in subjects with FMD less than or equal to the sex-specific medians (78.3% versus 73.6%, log-rank P=0.006). FMD remained a significant predictor of cardiovascular events after adjustment for age, gender, diabetes mellitus, cigarette smoking, systolic and diastolic blood pressure, baseline cardiovascular disease status, and total cholesterol (hazard ratio, 0.91 [95% CI, 0.83 to 0.99], P=0.02 per unit SD of FMD) but added only approximately 1% to the prognostic accuracy of the best Cox model. Brachial artery diameter was also predictive of CV events in the adjusted Cox proportional hazard model (hazard ratio, 1.12 [95% CI, 1.02 to 1.28], P=0.025) and also added approximately 1% to the accuracy of our best Cox model. CONCLUSIONS FMD is a predictor of future cardiovascular events but adds very little to the prognostic accuracy of traditional cardiovascular risk scores/factors in older adults. FMD and brachial artery diameter may have similar predictive values for cardiovascular events in older adults.","author":[{"dropping-particle":"","family":"Yeboah","given":"Joseph","non-dropping-particle":"","parse-names":false,"suffix":""},{"dropping-particle":"","family":"Crouse","given":"John R.","non-dropping-particle":"","parse-names":false,"suffix":""},{"dropping-particle":"","family":"Hsu","given":"Fang-Chi","non-dropping-particle":"","parse-names":false,"suffix":""},{"dropping-particle":"","family":"Burke","given":"Gregory L.","non-dropping-particle":"","parse-names":false,"suffix":""},{"dropping-particle":"","family":"Herrington","given":"David M.","non-dropping-particle":"","parse-names":false,"suffix":""}],"container-title":"Circulation","id":"ITEM-1","issue":"18","issued":{"date-parts":[["2007","5","8"]]},"page":"2390-2397","title":"Brachial Flow-Mediated Dilation Predicts Incident Cardiovascular Events in Older Adults","type":"article-journal","volume":"115"},"uris":["http://www.mendeley.com/documents/?uuid=62087892-8aea-3210-91d0-ae2250779855"]}],"mendeley":{"formattedCitation":"(17)","plainTextFormattedCitation":"(17)","previouslyFormattedCitation":"(Yeboah, Crouse, Hsu, Burke, &amp; Herrington, 2007)"},"properties":{"noteIndex":0},"schema":"https://github.com/citation-style-language/schema/raw/master/csl-citation.json"}</w:instrText>
      </w:r>
      <w:r w:rsidRPr="00BF4F59">
        <w:rPr>
          <w:lang w:val="en-CA"/>
        </w:rPr>
        <w:fldChar w:fldCharType="separate"/>
      </w:r>
      <w:r w:rsidR="00F07B98" w:rsidRPr="00F07B98">
        <w:rPr>
          <w:noProof/>
          <w:lang w:val="en-CA"/>
        </w:rPr>
        <w:t>(17)</w:t>
      </w:r>
      <w:r w:rsidRPr="00BF4F59">
        <w:rPr>
          <w:lang w:val="en-CA"/>
        </w:rPr>
        <w:fldChar w:fldCharType="end"/>
      </w:r>
    </w:p>
    <w:p w14:paraId="04153E04" w14:textId="6336D659" w:rsidR="009B11A5" w:rsidRDefault="009B11A5" w:rsidP="009B11A5">
      <w:pPr>
        <w:pStyle w:val="Paragraphedeliste"/>
        <w:numPr>
          <w:ilvl w:val="0"/>
          <w:numId w:val="9"/>
        </w:numPr>
        <w:rPr>
          <w:lang w:val="en-CA"/>
        </w:rPr>
      </w:pPr>
      <w:r>
        <w:rPr>
          <w:lang w:val="en-CA"/>
        </w:rPr>
        <w:t>P</w:t>
      </w:r>
      <w:r w:rsidRPr="00BF4F59">
        <w:rPr>
          <w:lang w:val="en-CA"/>
        </w:rPr>
        <w:t xml:space="preserve">ulse wave velocity (PWV) is related to endothelial function and CVD risk factors </w:t>
      </w:r>
      <w:r w:rsidRPr="00BF4F59">
        <w:rPr>
          <w:lang w:val="en-CA"/>
        </w:rPr>
        <w:fldChar w:fldCharType="begin" w:fldLock="1"/>
      </w:r>
      <w:r w:rsidR="00F07B98">
        <w:rPr>
          <w:lang w:val="en-CA"/>
        </w:rPr>
        <w:instrText>ADDIN CSL_CITATION {"citationItems":[{"id":"ITEM-1","itemData":{"DOI":"10.1161/01.HYP.0000199605.35173.14","ISSN":"1524-4563","PMID":"16380523","abstract":"We investigated the relationship of aortic pulse wave velocity (aPWV), a measure of central arterial stiffness, with the presence and quantity of coronary artery calcium (CAC) in a community-based sample of adults without prior history of heart attack or stroke (n=401, mean age 59.8 years, 53% men). ECG-gated waveforms of the right carotid and right femoral artery were obtained by applanation tonometry, and aPWV was calculated using established methods. CAC was measured noninvasively by electron beam computed tomography, and CAC score was calculated. aPWV was significantly correlated with log(CAC +1; r=0.41; P&lt;0.0001) and pulse pressure (r=0.47; P&lt;0.0001). Multivariable logistic and linear regression models were used to identify independent predictors of the presence and quantity of CAC, respectively. In multivariable logistic regression analyses, aPWV was associated with the presence of CAC (P=0.011) after adjustment for age, male sex, total cholesterol, high-density lipoprotein cholesterol, diabetes, history of smoking, systolic blood pressure, body mass index, and use of hypertension and statin medications. In multivariable linear regression analyses, aPWV was significantly associated with log(CAC +1) after adjustment for the covariates enumerated above (P&lt;0.0001). aPWV remained significantly associated with both the presence and quantity of CAC even after the additional adjustment for diastolic blood pressure. We conclude that aPWV is related to subclinical coronary atherosclerosis independent of conventional risk factors (including indices of blood pressure) and may be a biomarker of cardiovascular risk in asymptomatic individuals.","author":[{"dropping-particle":"","family":"Kullo","given":"Iftikhar J","non-dropping-particle":"","parse-names":false,"suffix":""},{"dropping-particle":"","family":"Bielak","given":"Lawrence F","non-dropping-particle":"","parse-names":false,"suffix":""},{"dropping-particle":"","family":"Turner","given":"Stephen T","non-dropping-particle":"","parse-names":false,"suffix":""},{"dropping-particle":"","family":"Sheedy","given":"Patrick F","non-dropping-particle":"","parse-names":false,"suffix":""},{"dropping-particle":"","family":"Peyser","given":"Patricia A","non-dropping-particle":"","parse-names":false,"suffix":""}],"container-title":"Hypertension (Dallas, Tex. : 1979)","id":"ITEM-1","issue":"2","issued":{"date-parts":[["2006","2"]]},"page":"174-9","publisher":"Lippincott Williams and Wilkins","title":"Aortic pulse wave velocity is associated with the presence and quantity of coronary artery calcium: a community-based study.","type":"article-journal","volume":"47"},"uris":["http://www.mendeley.com/documents/?uuid=abcd94bb-7666-358b-a4f5-8c0fd4cb5350"]},{"id":"ITEM-2","itemData":{"ISSN":"0263-6352","PMID":"9886900","abstract":"OBJECTIVE The aim of this study was to determine the reproducibility of pulse wave velocity (PWV) and augmentation index (AIx) measured using pulse wave analysis (PWA), prior to its use in large-scale clinical trials. METHODS Arterial pressure waveforms were recorded and analysed using an established technique (Sphygmocor). Subjects with and without a range of recognized cardiovascular risk factors were studied to provide a wide range of values. Measurements were made after a brief introduction to the technique in a clinical setting. Two observers recorded aortic and brachial PWV in 24 subjects, each on two occasions, in a random order. In a separate study, two different observers used PWA to determine AIx in 33 subjects, each on two occasions, in a random order. Data were analysed using Bland-Altman plots and presented as mean +/- SD. RESULTS Brachial PWV was 8.65+/-1.58 m/s (range 6.16-10.95 m/s) and aortic PWV was 8.15+/-3.01 m/s (5.01-17.97 m/s). Within-observer variability was 0.14+/-0.82 m/s for brachial PWV and 0.07+/-1.17 m/s for aortic PWV. Corresponding between-observer values were -0.44+/-1.09 m/s and -0.30+/-1.25 m/s. AIx ranged from -15.0 to +45.0%, with a group mean of +19.6+/-12.0%. The within-observer difference was 0.49+/-5.37% and between-observer difference 0.23+/-3.80%. CONCLUSION PWA is a simple and reproducible technique with which to measure PWV and AIx. Reproducibility accords with that reported by other workers using different methodologies. PWA may, therefore, be suitable for large-scale population and intervention studies investigating the clinical relevance of vascular stiffness.","author":[{"dropping-particle":"","family":"Wilkinson","given":"I B","non-dropping-particle":"","parse-names":false,"suffix":""},{"dropping-particle":"","family":"Fuchs","given":"S A","non-dropping-particle":"","parse-names":false,"suffix":""},{"dropping-particle":"","family":"Jansen","given":"I M","non-dropping-particle":"","parse-names":false,"suffix":""},{"dropping-particle":"","family":"Spratt","given":"J C","non-dropping-particle":"","parse-names":false,"suffix":""},{"dropping-particle":"","family":"Murray","given":"G D","non-dropping-particle":"","parse-names":false,"suffix":""},{"dropping-particle":"","family":"Cockcroft","given":"J R","non-dropping-particle":"","parse-names":false,"suffix":""},{"dropping-particle":"","family":"Webb","given":"D J","non-dropping-particle":"","parse-names":false,"suffix":""}],"container-title":"Journal of hypertension","id":"ITEM-2","issue":"12 Pt 2","issued":{"date-parts":[["1998","12"]]},"page":"2079-84","title":"Reproducibility of pulse wave velocity and augmentation index measured by pulse wave analysis.","type":"article-journal","volume":"16"},"uris":["http://www.mendeley.com/documents/?uuid=ceab1611-9c7c-3d9d-a8f0-b38aaf3ee8e3"]}],"mendeley":{"formattedCitation":"(18,19)","plainTextFormattedCitation":"(18,19)","previouslyFormattedCitation":"(Kullo, Bielak, Turner, Sheedy, &amp; Peyser, 2006; Wilkinson et al., 1998)"},"properties":{"noteIndex":0},"schema":"https://github.com/citation-style-language/schema/raw/master/csl-citation.json"}</w:instrText>
      </w:r>
      <w:r w:rsidRPr="00BF4F59">
        <w:rPr>
          <w:lang w:val="en-CA"/>
        </w:rPr>
        <w:fldChar w:fldCharType="separate"/>
      </w:r>
      <w:r w:rsidR="00F07B98" w:rsidRPr="00F07B98">
        <w:rPr>
          <w:noProof/>
          <w:lang w:val="en-CA"/>
        </w:rPr>
        <w:t>(18,19)</w:t>
      </w:r>
      <w:r w:rsidRPr="00BF4F59">
        <w:rPr>
          <w:lang w:val="en-CA"/>
        </w:rPr>
        <w:fldChar w:fldCharType="end"/>
      </w:r>
    </w:p>
    <w:p w14:paraId="3DF8CD3C" w14:textId="0CF8BC5D" w:rsidR="009B11A5" w:rsidRDefault="009B11A5" w:rsidP="009B11A5">
      <w:pPr>
        <w:pStyle w:val="Paragraphedeliste"/>
        <w:numPr>
          <w:ilvl w:val="0"/>
          <w:numId w:val="9"/>
        </w:numPr>
        <w:rPr>
          <w:lang w:val="en-CA"/>
        </w:rPr>
      </w:pPr>
      <w:r>
        <w:rPr>
          <w:lang w:val="en-CA"/>
        </w:rPr>
        <w:t>A</w:t>
      </w:r>
      <w:r w:rsidRPr="00BF4F59">
        <w:rPr>
          <w:lang w:val="en-CA"/>
        </w:rPr>
        <w:t xml:space="preserve">nkle-brachial index (ABI) is used as a screening tool for peripheral arterial disease but also as </w:t>
      </w:r>
      <w:r w:rsidR="00870F18">
        <w:rPr>
          <w:lang w:val="en-CA"/>
        </w:rPr>
        <w:t xml:space="preserve">a </w:t>
      </w:r>
      <w:r w:rsidRPr="00BF4F59">
        <w:rPr>
          <w:lang w:val="en-CA"/>
        </w:rPr>
        <w:t xml:space="preserve">CVD risk marker </w:t>
      </w:r>
      <w:r w:rsidRPr="00BF4F59">
        <w:rPr>
          <w:lang w:val="en-CA"/>
        </w:rPr>
        <w:fldChar w:fldCharType="begin" w:fldLock="1"/>
      </w:r>
      <w:r w:rsidR="00F07B98">
        <w:rPr>
          <w:lang w:val="en-CA"/>
        </w:rPr>
        <w:instrText>ADDIN CSL_CITATION {"citationItems":[{"id":"ITEM-1","itemData":{"DOI":"10.1001/jama.300.2.197","ISSN":"0098-7484","PMID":"18612117","abstract":"CONTEXT Prediction models to identify healthy individuals at high risk of cardiovascular disease have limited accuracy. A low ankle brachial index (ABI) is an indicator of atherosclerosis and has the potential to improve prediction. OBJECTIVE To determine if the ABI provides information on the risk of cardiovascular events and mortality independently of the Framingham risk score (FRS) and can improve risk prediction. DATA SOURCES Relevant studies were identified. A search of MEDLINE (1950 to February 2008) and EMBASE (1980 to February 2008) was conducted using common text words for the term ankle brachial index combined with text words and Medical Subject Headings to capture prospective cohort designs. Review of reference lists and conference proceedings, and correspondence with experts was conducted to identify additional published and unpublished studies. STUDY SELECTION Studies were included if participants were derived from a general population, ABI was measured at baseline, and individuals were followed up to detect total and cardiovascular mortality. DATA EXTRACTION Prespecified data on individuals in each selected study were extracted into a combined data set and an individual participant data meta-analysis was conducted on individuals who had no previous history of coronary heart disease. RESULTS Sixteen population cohort studies fulfilling the inclusion criteria were included. During 480,325 person-years of follow-up of 24,955 men and 23,339 women, the risk of death by ABI had a reverse J-shaped distribution with a normal (low risk) ABI of 1.11 to 1.40. The 10-year cardiovascular mortality in men with a low ABI (&lt; or = 0.90) was 18.7% (95% confidence interval [CI], 13.3%-24.1%) and with normal ABI (1.11-1.40) was 4.4% (95% CI, 3.2%-5.7%) (hazard ratio [HR], 4.2; 95% CI, 3.3-5.4). Corresponding mortalities in women were 12.6% (95% CI, 6.2%-19.0%) and 4.1% (95% CI, 2.2%-6.1%) (HR, 3.5; 95% CI, 2.4-5.1). The HRs remained elevated after adjusting for FRS (2.9 [95% CI, 2.3-3.7] for men vs 3.0 [95% CI, 2.0-4.4] for women). A low ABI (&lt; or = 0.90) was associated with approximately twice the 10-year total mortality, cardiovascular mortality, and major coronary event rate compared with the overall rate in each FRS category. Inclusion of the ABI in cardiovascular risk stratification using the FRS would result in reclassification of the risk category and modification of treatment recommendations in approximately 19% of men and 36% of women. CONCLUSION Mea…","author":[{"dropping-particle":"","family":"Ankle Brachial Index Collaboration","given":"","non-dropping-particle":"","parse-names":false,"suffix":""},{"dropping-particle":"","family":"Fowkes","given":"F G R","non-dropping-particle":"","parse-names":false,"suffix":""},{"dropping-particle":"","family":"Murray","given":"G D","non-dropping-particle":"","parse-names":false,"suffix":""},{"dropping-particle":"","family":"Butcher","given":"I","non-dropping-particle":"","parse-names":false,"suffix":""},{"dropping-particle":"","family":"Heald","given":"C L","non-dropping-particle":"","parse-names":false,"suffix":""},{"dropping-particle":"","family":"Lee","given":"R J","non-dropping-particle":"","parse-names":false,"suffix":""},{"dropping-particle":"","family":"Chambless","given":"L E","non-dropping-particle":"","parse-names":false,"suffix":""},{"dropping-particle":"","family":"Folsom","given":"A R","non-dropping-particle":"","parse-names":false,"suffix":""},{"dropping-particle":"","family":"Hirsch","given":"A T","non-dropping-particle":"","parse-names":false,"suffix":""},{"dropping-particle":"","family":"Dramaix","given":"M","non-dropping-particle":"","parse-names":false,"suffix":""},{"dropping-particle":"","family":"deBacker","given":"G","non-dropping-particle":"","parse-names":false,"suffix":""},{"dropping-particle":"","family":"Wautrecht","given":"J-C","non-dropping-particle":"","parse-names":false,"suffix":""},{"dropping-particle":"","family":"Kornitzer","given":"M","non-dropping-particle":"","parse-names":false,"suffix":""},{"dropping-particle":"","family":"Newman","given":"A B","non-dropping-particle":"","parse-names":false,"suffix":""},{"dropping-particle":"","family":"Cushman","given":"M","non-dropping-particle":"","parse-names":false,"suffix":""},{"dropping-particle":"","family":"Sutton-Tyrrell","given":"K","non-dropping-particle":"","parse-names":false,"suffix":""},{"dropping-particle":"","family":"Fowkes","given":"F G R","non-dropping-particle":"","parse-names":false,"suffix":""},{"dropping-particle":"","family":"Lee","given":"A J","non-dropping-particle":"","parse-names":false,"suffix":""},{"dropping-particle":"","family":"Price","given":"J F","non-dropping-particle":"","parse-names":false,"suffix":""},{"dropping-particle":"","family":"d'Agostino","given":"R B","non-dropping-particle":"","parse-names":false,"suffix":""},{"dropping-particle":"","family":"Murabito","given":"J M","non-dropping-particle":"","parse-names":false,"suffix":""},{"dropping-particle":"","family":"Norman","given":"P E","non-dropping-particle":"","parse-names":false,"suffix":""},{"dropping-particle":"","family":"Jamrozik","given":"K","non-dropping-particle":"","parse-names":false,"suffix":""},{"dropping-particle":"","family":"Curb","given":"J D","non-dropping-particle":"","parse-names":false,"suffix":""},{"dropping-particle":"","family":"Masaki","given":"K H","non-dropping-particle":"","parse-names":false,"suffix":""},{"dropping-particle":"","family":"Rodríguez","given":"B L","non-dropping-particle":"","parse-names":false,"suffix":""},{"dropping-particle":"","family":"Dekker","given":"J M","non-dropping-particle":"","parse-names":false,"suffix":""},{"dropping-particle":"","family":"Bouter","given":"L M","non-dropping-particle":"","parse-names":false,"suffix":""},{"dropping-particle":"","family":"Heine","given":"R J","non-dropping-particle":"","parse-names":false,"suffix":""},{"dropping-particle":"","family":"Nijpels","given":"G","non-dropping-particle":"","parse-names":false,"suffix":""},{"dropping-particle":"","family":"Stehouwer","given":"C D A","non-dropping-particle":"","parse-names":false,"suffix":""},{"dropping-particle":"","family":"Ferrucci","given":"L","non-dropping-particle":"","parse-names":false,"suffix":""},{"dropping-particle":"","family":"McDermott","given":"M M","non-dropping-particle":"","parse-names":false,"suffix":""},{"dropping-particle":"","family":"Stoffers","given":"H E","non-dropping-particle":"","parse-names":false,"suffix":""},{"dropping-particle":"","family":"Hooi","given":"J D","non-dropping-particle":"","parse-names":false,"suffix":""},{"dropping-particle":"","family":"Knottnerus","given":"J A","non-dropping-particle":"","parse-names":false,"suffix":""},{"dropping-particle":"","family":"Ogren","given":"M","non-dropping-particle":"","parse-names":false,"suffix":""},{"dropping-particle":"","family":"Hedblad","given":"B","non-dropping-particle":"","parse-names":false,"suffix":""},{"dropping-particle":"","family":"Witteman","given":"J C","non-dropping-particle":"","parse-names":false,"suffix":""},{"dropping-particle":"","family":"Breteler","given":"M M B","non-dropping-particle":"","parse-names":false,"suffix":""},{"dropping-particle":"","family":"Hunink","given":"M G M","non-dropping-particle":"","parse-names":false,"suffix":""},{"dropping-particle":"","family":"Hofman","given":"A","non-dropping-particle":"","parse-names":false,"suffix":""},{"dropping-particle":"","family":"Criqui","given":"M H","non-dropping-particle":"","parse-names":false,"suffix":""},{"dropping-particle":"","family":"Langer","given":"R D","non-dropping-particle":"","parse-names":false,"suffix":""},{"dropping-particle":"","family":"Fronek","given":"A","non-dropping-particle":"","parse-names":false,"suffix":""},{"dropping-particle":"","family":"Hiatt","given":"W R","non-dropping-particle":"","parse-names":false,"suffix":""},{"dropping-particle":"","family":"Hamman","given":"R","non-dropping-particle":"","parse-names":false,"suffix":""},{"dropping-particle":"","family":"Resnick","given":"H E","non-dropping-particle":"","parse-names":false,"suffix":""},{"dropping-particle":"","family":"Guralnik","given":"J","non-dropping-particle":"","parse-names":false,"suffix":""},{"dropping-particle":"","family":"McDermott","given":"M M","non-dropping-particle":"","parse-names":false,"suffix":""}],"container-title":"JAMA","id":"ITEM-1","issue":"2","issued":{"date-parts":[["2008","7","9"]]},"page":"197","title":"Ankle Brachial Index Combined With Framingham Risk Score to Predict Cardiovascular Events and Mortality","type":"article-journal","volume":"300"},"uris":["http://www.mendeley.com/documents/?uuid=9ed49960-2ce7-3dbb-9a8c-02861b6e4260"]}],"mendeley":{"formattedCitation":"(20)","plainTextFormattedCitation":"(20)","previouslyFormattedCitation":"(Ankle Brachial Index Collaboration et al., 2008)"},"properties":{"noteIndex":0},"schema":"https://github.com/citation-style-language/schema/raw/master/csl-citation.json"}</w:instrText>
      </w:r>
      <w:r w:rsidRPr="00BF4F59">
        <w:rPr>
          <w:lang w:val="en-CA"/>
        </w:rPr>
        <w:fldChar w:fldCharType="separate"/>
      </w:r>
      <w:r w:rsidR="00F07B98" w:rsidRPr="00F07B98">
        <w:rPr>
          <w:noProof/>
          <w:lang w:val="en-CA"/>
        </w:rPr>
        <w:t>(20)</w:t>
      </w:r>
      <w:r w:rsidRPr="00BF4F59">
        <w:rPr>
          <w:lang w:val="en-CA"/>
        </w:rPr>
        <w:fldChar w:fldCharType="end"/>
      </w:r>
    </w:p>
    <w:p w14:paraId="0CE64FF7" w14:textId="14FE5071" w:rsidR="009B11A5" w:rsidRDefault="009B11A5" w:rsidP="009B11A5">
      <w:pPr>
        <w:pStyle w:val="Paragraphedeliste"/>
        <w:numPr>
          <w:ilvl w:val="0"/>
          <w:numId w:val="9"/>
        </w:numPr>
        <w:rPr>
          <w:lang w:val="en-CA"/>
        </w:rPr>
      </w:pPr>
      <w:r>
        <w:rPr>
          <w:lang w:val="en-CA"/>
        </w:rPr>
        <w:t>C</w:t>
      </w:r>
      <w:r w:rsidRPr="00BF4F59">
        <w:rPr>
          <w:lang w:val="en-CA"/>
        </w:rPr>
        <w:t xml:space="preserve">apillary microscopy measures are associated with relevant physiologic outcomes such as blood pressure and insulin resistance </w:t>
      </w:r>
      <w:r w:rsidRPr="00BF4F59">
        <w:rPr>
          <w:lang w:val="en-CA"/>
        </w:rPr>
        <w:fldChar w:fldCharType="begin" w:fldLock="1"/>
      </w:r>
      <w:r w:rsidR="00F07B98">
        <w:rPr>
          <w:lang w:val="en-CA"/>
        </w:rPr>
        <w:instrText>ADDIN CSL_CITATION {"citationItems":[{"id":"ITEM-1","itemData":{"DOI":"10.1681/ASN.2017020157","ISSN":"1533-3450","PMID":"28904002","abstract":"Microvascular dysfunction (MVD) is considered a crucial pathway in the development and progression of cardiometabolic and renal disease and is associated with increased cardiovascular mortality. MVD often coexists with or even precedes macrovascular disease, possibly due to shared mechanisms of vascular damage, such as inflammatory processes and oxidative stress. One of the first events in MVD is endothelial dysfunction. With the use of different physiologic or pharmacologic stimuli, endothelium-dependent (micro)vascular reactivity can be studied. This reactivity depends on the balance between various mediators, including nitric oxide, endothelin, and prostanoids, among others. The measurement of microvascular (endothelial) function is important to understand the pathophysiologic mechanisms that contribute to MVD and the role of MVD in the development and progression of cardiometabolic/renal disease. Here, we review a selection of direct, noninvasive techniques for measuring human microcirculation, with a focus on methods, interpretation, and limitations from the perspective of chronic cardiometabolic and renal disease.","author":[{"dropping-particle":"","family":"Houben","given":"Alfons J H M","non-dropping-particle":"","parse-names":false,"suffix":""},{"dropping-particle":"","family":"Martens","given":"Remy J H","non-dropping-particle":"","parse-names":false,"suffix":""},{"dropping-particle":"","family":"Stehouwer","given":"Coen D A","non-dropping-particle":"","parse-names":false,"suffix":""}],"container-title":"Journal of the American Society of Nephrology : JASN","id":"ITEM-1","issue":"12","issued":{"date-parts":[["2017","12","1"]]},"page":"3461-3472","publisher":"American Society of Nephrology","title":"Assessing Microvascular Function in Humans from a Chronic Disease Perspective.","type":"article-journal","volume":"28"},"uris":["http://www.mendeley.com/documents/?uuid=04c3b3b1-7e85-3256-857c-1f7600047211"]}],"mendeley":{"formattedCitation":"(21)","plainTextFormattedCitation":"(21)","previouslyFormattedCitation":"(Houben, Martens, &amp; Stehouwer, 2017)"},"properties":{"noteIndex":0},"schema":"https://github.com/citation-style-language/schema/raw/master/csl-citation.json"}</w:instrText>
      </w:r>
      <w:r w:rsidRPr="00BF4F59">
        <w:rPr>
          <w:lang w:val="en-CA"/>
        </w:rPr>
        <w:fldChar w:fldCharType="separate"/>
      </w:r>
      <w:r w:rsidR="00F07B98" w:rsidRPr="00F07B98">
        <w:rPr>
          <w:noProof/>
          <w:lang w:val="en-CA"/>
        </w:rPr>
        <w:t>(21)</w:t>
      </w:r>
      <w:r w:rsidRPr="00BF4F59">
        <w:rPr>
          <w:lang w:val="en-CA"/>
        </w:rPr>
        <w:fldChar w:fldCharType="end"/>
      </w:r>
    </w:p>
    <w:p w14:paraId="7A96700C" w14:textId="77777777" w:rsidR="009B11A5" w:rsidRPr="00BF4F59" w:rsidRDefault="009B11A5" w:rsidP="009B11A5">
      <w:pPr>
        <w:pStyle w:val="Paragraphedeliste"/>
        <w:numPr>
          <w:ilvl w:val="0"/>
          <w:numId w:val="9"/>
        </w:numPr>
        <w:rPr>
          <w:lang w:val="en-CA"/>
        </w:rPr>
      </w:pPr>
      <w:r>
        <w:rPr>
          <w:lang w:val="en-CA"/>
        </w:rPr>
        <w:t>Ambulatory blood pressure monitoring (ABPM)</w:t>
      </w:r>
    </w:p>
    <w:p w14:paraId="78557AD6" w14:textId="77777777" w:rsidR="009B11A5" w:rsidRPr="00EE6D8B" w:rsidRDefault="009B11A5"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Liver Disease</w:t>
      </w:r>
    </w:p>
    <w:p w14:paraId="025654F7" w14:textId="0411468F" w:rsidR="009B11A5" w:rsidRPr="00761FA8" w:rsidRDefault="00761FA8" w:rsidP="009B11A5">
      <w:pPr>
        <w:rPr>
          <w:i/>
          <w:iCs/>
          <w:lang w:val="en-CA"/>
        </w:rPr>
      </w:pPr>
      <w:r w:rsidRPr="00761FA8">
        <w:rPr>
          <w:i/>
          <w:iCs/>
          <w:lang w:val="en-CA"/>
        </w:rPr>
        <w:t>NFS</w:t>
      </w:r>
    </w:p>
    <w:p w14:paraId="45062687" w14:textId="77777777" w:rsidR="009B11A5" w:rsidRPr="007F2BD2" w:rsidRDefault="009B11A5" w:rsidP="009B11A5">
      <w:pPr>
        <w:rPr>
          <w:lang w:val="en-CA"/>
        </w:rPr>
      </w:pPr>
      <w:r>
        <w:rPr>
          <w:lang w:val="en-CA"/>
        </w:rPr>
        <w:t xml:space="preserve">Calculate </w:t>
      </w:r>
      <w:r w:rsidRPr="007F2BD2">
        <w:rPr>
          <w:lang w:val="en-CA"/>
        </w:rPr>
        <w:t>NAFLD fibrosis score= -1.675</w:t>
      </w:r>
    </w:p>
    <w:p w14:paraId="1800D5A0" w14:textId="77777777" w:rsidR="009B11A5" w:rsidRPr="007F2BD2" w:rsidRDefault="009B11A5" w:rsidP="009B11A5">
      <w:pPr>
        <w:rPr>
          <w:lang w:val="en-CA"/>
        </w:rPr>
      </w:pPr>
      <w:r w:rsidRPr="007F2BD2">
        <w:rPr>
          <w:lang w:val="en-CA"/>
        </w:rPr>
        <w:t>+ 0.037 x age (years)</w:t>
      </w:r>
    </w:p>
    <w:p w14:paraId="731017AA" w14:textId="77777777" w:rsidR="009B11A5" w:rsidRPr="007F2BD2" w:rsidRDefault="009B11A5" w:rsidP="009B11A5">
      <w:pPr>
        <w:rPr>
          <w:lang w:val="en-CA"/>
        </w:rPr>
      </w:pPr>
      <w:r w:rsidRPr="007F2BD2">
        <w:rPr>
          <w:lang w:val="en-CA"/>
        </w:rPr>
        <w:t>+ 0.094 x BMI(kg/m2)</w:t>
      </w:r>
    </w:p>
    <w:p w14:paraId="4B68CBF8" w14:textId="77777777" w:rsidR="009B11A5" w:rsidRPr="007F2BD2" w:rsidRDefault="009B11A5" w:rsidP="009B11A5">
      <w:pPr>
        <w:rPr>
          <w:lang w:val="en-CA"/>
        </w:rPr>
      </w:pPr>
      <w:r w:rsidRPr="007F2BD2">
        <w:rPr>
          <w:lang w:val="en-CA"/>
        </w:rPr>
        <w:t>+ 1.13 x IFG/diabetes (yes=1, no=0)</w:t>
      </w:r>
    </w:p>
    <w:p w14:paraId="0E65C2A3" w14:textId="77777777" w:rsidR="009B11A5" w:rsidRPr="007F2BD2" w:rsidRDefault="009B11A5" w:rsidP="009B11A5">
      <w:pPr>
        <w:rPr>
          <w:lang w:val="en-CA"/>
        </w:rPr>
      </w:pPr>
      <w:r w:rsidRPr="007F2BD2">
        <w:rPr>
          <w:lang w:val="en-CA"/>
        </w:rPr>
        <w:t>+ 0.99 x AST/ALT ratio</w:t>
      </w:r>
    </w:p>
    <w:p w14:paraId="70E89D03" w14:textId="77777777" w:rsidR="009B11A5" w:rsidRPr="007F2BD2" w:rsidRDefault="009B11A5" w:rsidP="009B11A5">
      <w:pPr>
        <w:rPr>
          <w:lang w:val="en-CA"/>
        </w:rPr>
      </w:pPr>
      <w:r w:rsidRPr="007F2BD2">
        <w:rPr>
          <w:lang w:val="en-CA"/>
        </w:rPr>
        <w:t>- 0.013 x platelet (109/l)</w:t>
      </w:r>
    </w:p>
    <w:p w14:paraId="26DC65F7" w14:textId="77777777" w:rsidR="009B11A5" w:rsidRPr="007F2BD2" w:rsidRDefault="009B11A5" w:rsidP="009B11A5">
      <w:pPr>
        <w:rPr>
          <w:lang w:val="en-CA"/>
        </w:rPr>
      </w:pPr>
      <w:r w:rsidRPr="007F2BD2">
        <w:rPr>
          <w:lang w:val="en-CA"/>
        </w:rPr>
        <w:t>- 0.66 x albumin (g/dl)</w:t>
      </w:r>
    </w:p>
    <w:p w14:paraId="70408188" w14:textId="589BAE0A" w:rsidR="009B11A5" w:rsidRPr="007F2BD2" w:rsidRDefault="009B11A5" w:rsidP="009B11A5">
      <w:pPr>
        <w:rPr>
          <w:lang w:val="en-CA"/>
        </w:rPr>
      </w:pPr>
      <w:r>
        <w:rPr>
          <w:lang w:val="en-CA"/>
        </w:rPr>
        <w:t xml:space="preserve">See online calculator </w:t>
      </w:r>
      <w:r>
        <w:rPr>
          <w:lang w:val="en-CA"/>
        </w:rPr>
        <w:fldChar w:fldCharType="begin" w:fldLock="1"/>
      </w:r>
      <w:r w:rsidR="00F07B98">
        <w:rPr>
          <w:lang w:val="en-CA"/>
        </w:rPr>
        <w:instrText>ADDIN CSL_CITATION {"citationItems":[{"id":"ITEM-1","itemData":{"DOI":"10.1002/hep.21496","ISSN":"02709139","author":[{"dropping-particle":"","family":"Angulo","given":"Paul","non-dropping-particle":"","parse-names":false,"suffix":""},{"dropping-particle":"","family":"Hui","given":"Jason M.","non-dropping-particle":"","parse-names":false,"suffix":""},{"dropping-particle":"","family":"Marchesini","given":"Giulio","non-dropping-particle":"","parse-names":false,"suffix":""},{"dropping-particle":"","family":"Bugianesi","given":"Ellisabetta","non-dropping-particle":"","parse-names":false,"suffix":""},{"dropping-particle":"","family":"George","given":"Jacob","non-dropping-particle":"","parse-names":false,"suffix":""},{"dropping-particle":"","family":"Farrell","given":"Geoffrey C.","non-dropping-particle":"","parse-names":false,"suffix":""},{"dropping-particle":"","family":"Enders","given":"Felicity","non-dropping-particle":"","parse-names":false,"suffix":""},{"dropping-particle":"","family":"Saksena","given":"Sushma","non-dropping-particle":"","parse-names":false,"suffix":""},{"dropping-particle":"","family":"Burt","given":"Alastair D.","non-dropping-particle":"","parse-names":false,"suffix":""},{"dropping-particle":"","family":"Bida","given":"John P.","non-dropping-particle":"","parse-names":false,"suffix":""},{"dropping-particle":"","family":"Lindor","given":"Keith","non-dropping-particle":"","parse-names":false,"suffix":""},{"dropping-particle":"","family":"Sanderson","given":"Schuyler O.","non-dropping-particle":"","parse-names":false,"suffix":""},{"dropping-particle":"","family":"Lenzi","given":"Marco","non-dropping-particle":"","parse-names":false,"suffix":""},{"dropping-particle":"","family":"Adams","given":"Leon A.","non-dropping-particle":"","parse-names":false,"suffix":""},{"dropping-particle":"","family":"Kench","given":"James","non-dropping-particle":"","parse-names":false,"suffix":""},{"dropping-particle":"","family":"Therneau","given":"Terry M.","non-dropping-particle":"","parse-names":false,"suffix":""},{"dropping-particle":"","family":"Day","given":"Christopher P.","non-dropping-particle":"","parse-names":false,"suffix":""}],"container-title":"Hepatology","id":"ITEM-1","issue":"4","issued":{"date-parts":[["2007","4"]]},"page":"846-854","title":"The NAFLD fibrosis score: A noninvasive system that identifies liver fibrosis in patients with NAFLD","type":"article-journal","volume":"45"},"uris":["http://www.mendeley.com/documents/?uuid=20d3379d-ee84-3343-aa39-de6facdf7f87"]}],"mendeley":{"formattedCitation":"(22)","plainTextFormattedCitation":"(22)","previouslyFormattedCitation":"(Angulo et al., 2007)"},"properties":{"noteIndex":0},"schema":"https://github.com/citation-style-language/schema/raw/master/csl-citation.json"}</w:instrText>
      </w:r>
      <w:r>
        <w:rPr>
          <w:lang w:val="en-CA"/>
        </w:rPr>
        <w:fldChar w:fldCharType="separate"/>
      </w:r>
      <w:r w:rsidR="00F07B98" w:rsidRPr="00F07B98">
        <w:rPr>
          <w:noProof/>
          <w:lang w:val="en-CA"/>
        </w:rPr>
        <w:t>(22)</w:t>
      </w:r>
      <w:r>
        <w:rPr>
          <w:lang w:val="en-CA"/>
        </w:rPr>
        <w:fldChar w:fldCharType="end"/>
      </w:r>
    </w:p>
    <w:p w14:paraId="75B61F36" w14:textId="77777777" w:rsidR="009B11A5" w:rsidRPr="00761FA8" w:rsidRDefault="009B11A5" w:rsidP="009B11A5">
      <w:pPr>
        <w:rPr>
          <w:i/>
          <w:iCs/>
          <w:lang w:val="en-CA"/>
        </w:rPr>
      </w:pPr>
      <w:r w:rsidRPr="00761FA8">
        <w:rPr>
          <w:i/>
          <w:iCs/>
          <w:lang w:val="en-CA"/>
        </w:rPr>
        <w:t>FIB-4 score</w:t>
      </w:r>
    </w:p>
    <w:p w14:paraId="66D84E87" w14:textId="77777777" w:rsidR="009B11A5" w:rsidRDefault="009B11A5" w:rsidP="009B11A5">
      <w:pPr>
        <w:rPr>
          <w:lang w:val="en-CA"/>
        </w:rPr>
      </w:pPr>
      <w:r>
        <w:rPr>
          <w:lang w:val="en-CA"/>
        </w:rPr>
        <w:t xml:space="preserve">Calculate </w:t>
      </w:r>
      <w:r w:rsidRPr="00EE5D64">
        <w:rPr>
          <w:lang w:val="en-CA"/>
        </w:rPr>
        <w:t>FIB-4 = (age x AST) / (plateletcount x (ALT)½)</w:t>
      </w:r>
    </w:p>
    <w:p w14:paraId="220B9455" w14:textId="74F91BD0" w:rsidR="0054378B" w:rsidRPr="0054378B" w:rsidRDefault="0054378B" w:rsidP="009B11A5">
      <w:pPr>
        <w:rPr>
          <w:i/>
          <w:iCs/>
          <w:lang w:val="en-CA"/>
        </w:rPr>
      </w:pPr>
      <w:r w:rsidRPr="0054378B">
        <w:rPr>
          <w:i/>
          <w:iCs/>
          <w:lang w:val="en-CA"/>
        </w:rPr>
        <w:t>Alcohol intake</w:t>
      </w:r>
    </w:p>
    <w:p w14:paraId="13499140" w14:textId="0FC56049" w:rsidR="009B11A5" w:rsidRDefault="009B11A5" w:rsidP="009B11A5">
      <w:pPr>
        <w:rPr>
          <w:lang w:val="en-CA"/>
        </w:rPr>
      </w:pPr>
      <w:r>
        <w:rPr>
          <w:lang w:val="en-CA"/>
        </w:rPr>
        <w:t>Use the WHO AUDIT questionnaire:</w:t>
      </w:r>
    </w:p>
    <w:p w14:paraId="0855EF90" w14:textId="77777777" w:rsidR="009B11A5" w:rsidRPr="00CA2C8D" w:rsidRDefault="009B11A5" w:rsidP="009B11A5">
      <w:pPr>
        <w:rPr>
          <w:lang w:val="en-CA"/>
        </w:rPr>
      </w:pPr>
      <w:r w:rsidRPr="00CA2C8D">
        <w:rPr>
          <w:lang w:val="en-CA"/>
        </w:rPr>
        <w:t>How often do you have a drink containing alcohol (1 drink contains 12 grams of absolute alcohol = 1 can of beer (33cc), = 1 glass of wine (12 cc), 1 shot of strong alcohol (4 ccs of vodka, gin, whiskey etc)?</w:t>
      </w:r>
      <w:r>
        <w:rPr>
          <w:lang w:val="en-CA"/>
        </w:rPr>
        <w:t xml:space="preserve"> </w:t>
      </w:r>
      <w:r w:rsidRPr="00CA2C8D">
        <w:rPr>
          <w:lang w:val="en-CA"/>
        </w:rPr>
        <w:t>(0) Never</w:t>
      </w:r>
      <w:r>
        <w:rPr>
          <w:lang w:val="en-CA"/>
        </w:rPr>
        <w:t xml:space="preserve">; </w:t>
      </w:r>
      <w:r w:rsidRPr="00CA2C8D">
        <w:rPr>
          <w:lang w:val="en-CA"/>
        </w:rPr>
        <w:t>(1) Monthly or less</w:t>
      </w:r>
      <w:r>
        <w:rPr>
          <w:lang w:val="en-CA"/>
        </w:rPr>
        <w:t xml:space="preserve">; </w:t>
      </w:r>
      <w:r w:rsidRPr="00CA2C8D">
        <w:rPr>
          <w:lang w:val="en-CA"/>
        </w:rPr>
        <w:t>(2) 2 to 4 times a month</w:t>
      </w:r>
      <w:r>
        <w:rPr>
          <w:lang w:val="en-CA"/>
        </w:rPr>
        <w:t xml:space="preserve">; </w:t>
      </w:r>
      <w:r w:rsidRPr="00CA2C8D">
        <w:rPr>
          <w:lang w:val="en-CA"/>
        </w:rPr>
        <w:t>(3) 2 to 3 times a week</w:t>
      </w:r>
      <w:r>
        <w:rPr>
          <w:lang w:val="en-CA"/>
        </w:rPr>
        <w:t xml:space="preserve">; </w:t>
      </w:r>
      <w:r w:rsidRPr="00CA2C8D">
        <w:rPr>
          <w:lang w:val="en-CA"/>
        </w:rPr>
        <w:t>(4) 4 or more times a week</w:t>
      </w:r>
    </w:p>
    <w:p w14:paraId="63D41A56" w14:textId="77777777" w:rsidR="009B11A5" w:rsidRDefault="009B11A5" w:rsidP="009B11A5">
      <w:pPr>
        <w:rPr>
          <w:lang w:val="en-CA"/>
        </w:rPr>
      </w:pPr>
      <w:r w:rsidRPr="00CA2C8D">
        <w:rPr>
          <w:lang w:val="en-CA"/>
        </w:rPr>
        <w:t>How many drinks containing alcohol do you have on a typical day when you are drinking?</w:t>
      </w:r>
      <w:r>
        <w:rPr>
          <w:lang w:val="en-CA"/>
        </w:rPr>
        <w:t xml:space="preserve"> </w:t>
      </w:r>
      <w:r w:rsidRPr="00CA2C8D">
        <w:rPr>
          <w:lang w:val="en-CA"/>
        </w:rPr>
        <w:t>(0) 1</w:t>
      </w:r>
      <w:r>
        <w:rPr>
          <w:lang w:val="en-CA"/>
        </w:rPr>
        <w:t xml:space="preserve"> </w:t>
      </w:r>
      <w:r w:rsidRPr="00CA2C8D">
        <w:rPr>
          <w:lang w:val="en-CA"/>
        </w:rPr>
        <w:t>or</w:t>
      </w:r>
      <w:r>
        <w:rPr>
          <w:lang w:val="en-CA"/>
        </w:rPr>
        <w:t xml:space="preserve"> </w:t>
      </w:r>
      <w:r w:rsidRPr="00CA2C8D">
        <w:rPr>
          <w:lang w:val="en-CA"/>
        </w:rPr>
        <w:t>2</w:t>
      </w:r>
      <w:r>
        <w:rPr>
          <w:lang w:val="en-CA"/>
        </w:rPr>
        <w:t xml:space="preserve">; </w:t>
      </w:r>
      <w:r w:rsidRPr="00CA2C8D">
        <w:rPr>
          <w:lang w:val="en-CA"/>
        </w:rPr>
        <w:t>(1) 3</w:t>
      </w:r>
      <w:r>
        <w:rPr>
          <w:lang w:val="en-CA"/>
        </w:rPr>
        <w:t xml:space="preserve"> </w:t>
      </w:r>
      <w:r w:rsidRPr="00CA2C8D">
        <w:rPr>
          <w:lang w:val="en-CA"/>
        </w:rPr>
        <w:t>or</w:t>
      </w:r>
      <w:r>
        <w:rPr>
          <w:lang w:val="en-CA"/>
        </w:rPr>
        <w:t xml:space="preserve"> </w:t>
      </w:r>
      <w:r w:rsidRPr="00CA2C8D">
        <w:rPr>
          <w:lang w:val="en-CA"/>
        </w:rPr>
        <w:t>4</w:t>
      </w:r>
      <w:r>
        <w:rPr>
          <w:lang w:val="en-CA"/>
        </w:rPr>
        <w:t xml:space="preserve">; </w:t>
      </w:r>
      <w:r w:rsidRPr="00CA2C8D">
        <w:rPr>
          <w:lang w:val="en-CA"/>
        </w:rPr>
        <w:t>(2) 5</w:t>
      </w:r>
      <w:r>
        <w:rPr>
          <w:lang w:val="en-CA"/>
        </w:rPr>
        <w:t xml:space="preserve"> </w:t>
      </w:r>
      <w:r w:rsidRPr="00CA2C8D">
        <w:rPr>
          <w:lang w:val="en-CA"/>
        </w:rPr>
        <w:t>or</w:t>
      </w:r>
      <w:r>
        <w:rPr>
          <w:lang w:val="en-CA"/>
        </w:rPr>
        <w:t xml:space="preserve"> </w:t>
      </w:r>
      <w:r w:rsidRPr="00CA2C8D">
        <w:rPr>
          <w:lang w:val="en-CA"/>
        </w:rPr>
        <w:t>6</w:t>
      </w:r>
      <w:r>
        <w:rPr>
          <w:lang w:val="en-CA"/>
        </w:rPr>
        <w:t xml:space="preserve">; </w:t>
      </w:r>
      <w:r w:rsidRPr="00CA2C8D">
        <w:rPr>
          <w:lang w:val="en-CA"/>
        </w:rPr>
        <w:t>(3) 7,</w:t>
      </w:r>
      <w:r>
        <w:rPr>
          <w:lang w:val="en-CA"/>
        </w:rPr>
        <w:t xml:space="preserve"> </w:t>
      </w:r>
      <w:r w:rsidRPr="00CA2C8D">
        <w:rPr>
          <w:lang w:val="en-CA"/>
        </w:rPr>
        <w:t>8,</w:t>
      </w:r>
      <w:r>
        <w:rPr>
          <w:lang w:val="en-CA"/>
        </w:rPr>
        <w:t xml:space="preserve"> </w:t>
      </w:r>
      <w:r w:rsidRPr="00CA2C8D">
        <w:rPr>
          <w:lang w:val="en-CA"/>
        </w:rPr>
        <w:t>or</w:t>
      </w:r>
      <w:r>
        <w:rPr>
          <w:lang w:val="en-CA"/>
        </w:rPr>
        <w:t xml:space="preserve"> </w:t>
      </w:r>
      <w:r w:rsidRPr="00CA2C8D">
        <w:rPr>
          <w:lang w:val="en-CA"/>
        </w:rPr>
        <w:t>9</w:t>
      </w:r>
      <w:r>
        <w:rPr>
          <w:lang w:val="en-CA"/>
        </w:rPr>
        <w:t xml:space="preserve">; </w:t>
      </w:r>
      <w:r w:rsidRPr="00CA2C8D">
        <w:rPr>
          <w:lang w:val="en-CA"/>
        </w:rPr>
        <w:t>(4) 10 or more</w:t>
      </w:r>
    </w:p>
    <w:p w14:paraId="4CD6A77F" w14:textId="4EED1828" w:rsidR="00AE774C" w:rsidRPr="00EE6D8B" w:rsidRDefault="00AE774C"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Osteoarthritis</w:t>
      </w:r>
    </w:p>
    <w:p w14:paraId="788DE448" w14:textId="52714C68" w:rsidR="00097E8C" w:rsidRPr="00097E8C" w:rsidRDefault="00097E8C" w:rsidP="00AE774C">
      <w:pPr>
        <w:rPr>
          <w:i/>
          <w:iCs/>
          <w:lang w:val="en-US"/>
        </w:rPr>
      </w:pPr>
      <w:r>
        <w:rPr>
          <w:i/>
          <w:iCs/>
          <w:lang w:val="en-US"/>
        </w:rPr>
        <w:t>Quality of life</w:t>
      </w:r>
    </w:p>
    <w:p w14:paraId="78C4A0C7" w14:textId="56B4FE55" w:rsidR="00AE774C" w:rsidRPr="00AE774C" w:rsidRDefault="00AE774C" w:rsidP="00AE774C">
      <w:pPr>
        <w:rPr>
          <w:lang w:val="en-US"/>
        </w:rPr>
      </w:pPr>
      <w:r>
        <w:rPr>
          <w:lang w:val="en-US"/>
        </w:rPr>
        <w:t>Use</w:t>
      </w:r>
      <w:r w:rsidR="00097E8C">
        <w:rPr>
          <w:lang w:val="en-US"/>
        </w:rPr>
        <w:t xml:space="preserve"> EQ-5D-5L (see above).</w:t>
      </w:r>
    </w:p>
    <w:p w14:paraId="5B0349D4" w14:textId="017050C1" w:rsidR="009B11A5" w:rsidRPr="00EE6D8B" w:rsidRDefault="009B11A5" w:rsidP="00EE6D8B">
      <w:pPr>
        <w:keepNext/>
        <w:spacing w:after="120" w:line="360" w:lineRule="auto"/>
        <w:ind w:left="720" w:hanging="720"/>
        <w:outlineLvl w:val="2"/>
        <w:rPr>
          <w:rFonts w:ascii="Cambria" w:eastAsia="Times New Roman" w:hAnsi="Cambria"/>
          <w:b/>
          <w:bCs/>
          <w:sz w:val="26"/>
          <w:szCs w:val="26"/>
          <w:lang w:val="en-US" w:eastAsia="de-CH"/>
        </w:rPr>
      </w:pPr>
      <w:r w:rsidRPr="00EE6D8B">
        <w:rPr>
          <w:rFonts w:ascii="Cambria" w:eastAsia="Times New Roman" w:hAnsi="Cambria"/>
          <w:b/>
          <w:bCs/>
          <w:sz w:val="26"/>
          <w:szCs w:val="26"/>
          <w:lang w:val="en-US" w:eastAsia="de-CH"/>
        </w:rPr>
        <w:t>Tissue Phenotyping</w:t>
      </w:r>
    </w:p>
    <w:p w14:paraId="28343C22" w14:textId="11A631F8" w:rsidR="009B11A5" w:rsidRDefault="009B11A5" w:rsidP="009B11A5">
      <w:pPr>
        <w:rPr>
          <w:lang w:val="en-CA"/>
        </w:rPr>
      </w:pPr>
      <w:r>
        <w:rPr>
          <w:lang w:val="en-CA"/>
        </w:rPr>
        <w:t>For the expanded set, the group summarized some tissues that are possible to analy</w:t>
      </w:r>
      <w:r w:rsidR="00F07B98">
        <w:rPr>
          <w:lang w:val="en-CA"/>
        </w:rPr>
        <w:t>s</w:t>
      </w:r>
      <w:r>
        <w:rPr>
          <w:lang w:val="en-CA"/>
        </w:rPr>
        <w:t>e, the type of information gained, and the recommended procedures:</w:t>
      </w:r>
    </w:p>
    <w:tbl>
      <w:tblPr>
        <w:tblStyle w:val="Grilledutableau"/>
        <w:tblW w:w="0" w:type="auto"/>
        <w:tblLook w:val="04A0" w:firstRow="1" w:lastRow="0" w:firstColumn="1" w:lastColumn="0" w:noHBand="0" w:noVBand="1"/>
      </w:tblPr>
      <w:tblGrid>
        <w:gridCol w:w="2060"/>
        <w:gridCol w:w="4889"/>
        <w:gridCol w:w="2067"/>
      </w:tblGrid>
      <w:tr w:rsidR="009B11A5" w14:paraId="41C624FE" w14:textId="77777777" w:rsidTr="00624B86">
        <w:tc>
          <w:tcPr>
            <w:tcW w:w="2060" w:type="dxa"/>
          </w:tcPr>
          <w:p w14:paraId="76F3B053" w14:textId="77777777" w:rsidR="009B11A5" w:rsidRPr="00130FA4" w:rsidRDefault="009B11A5" w:rsidP="00624B86">
            <w:pPr>
              <w:rPr>
                <w:b/>
                <w:lang w:val="en-CA"/>
              </w:rPr>
            </w:pPr>
            <w:r w:rsidRPr="00130FA4">
              <w:rPr>
                <w:b/>
                <w:lang w:val="en-CA"/>
              </w:rPr>
              <w:lastRenderedPageBreak/>
              <w:t>Tissue</w:t>
            </w:r>
          </w:p>
        </w:tc>
        <w:tc>
          <w:tcPr>
            <w:tcW w:w="4889" w:type="dxa"/>
          </w:tcPr>
          <w:p w14:paraId="7DC06765" w14:textId="77777777" w:rsidR="009B11A5" w:rsidRPr="00130FA4" w:rsidRDefault="009B11A5" w:rsidP="00624B86">
            <w:pPr>
              <w:rPr>
                <w:b/>
                <w:lang w:val="en-CA"/>
              </w:rPr>
            </w:pPr>
            <w:r>
              <w:rPr>
                <w:b/>
                <w:lang w:val="en-CA"/>
              </w:rPr>
              <w:t>Type of information</w:t>
            </w:r>
          </w:p>
        </w:tc>
        <w:tc>
          <w:tcPr>
            <w:tcW w:w="2067" w:type="dxa"/>
          </w:tcPr>
          <w:p w14:paraId="594B88A6" w14:textId="77777777" w:rsidR="009B11A5" w:rsidRPr="00130FA4" w:rsidRDefault="009B11A5" w:rsidP="00624B86">
            <w:pPr>
              <w:rPr>
                <w:b/>
                <w:lang w:val="en-CA"/>
              </w:rPr>
            </w:pPr>
            <w:r w:rsidRPr="00130FA4">
              <w:rPr>
                <w:b/>
                <w:lang w:val="en-CA"/>
              </w:rPr>
              <w:t>Procedures</w:t>
            </w:r>
          </w:p>
        </w:tc>
      </w:tr>
      <w:tr w:rsidR="009B11A5" w14:paraId="73E7A13E" w14:textId="77777777" w:rsidTr="00624B86">
        <w:tc>
          <w:tcPr>
            <w:tcW w:w="2060" w:type="dxa"/>
          </w:tcPr>
          <w:p w14:paraId="6985F232" w14:textId="77777777" w:rsidR="009B11A5" w:rsidRDefault="009B11A5" w:rsidP="00624B86">
            <w:pPr>
              <w:rPr>
                <w:lang w:val="en-CA"/>
              </w:rPr>
            </w:pPr>
            <w:r>
              <w:rPr>
                <w:lang w:val="en-CA"/>
              </w:rPr>
              <w:t xml:space="preserve">Blood </w:t>
            </w:r>
          </w:p>
          <w:p w14:paraId="52A964C5" w14:textId="77777777" w:rsidR="009B11A5" w:rsidRDefault="009B11A5" w:rsidP="00624B86">
            <w:pPr>
              <w:rPr>
                <w:lang w:val="en-CA"/>
              </w:rPr>
            </w:pPr>
            <w:r w:rsidRPr="009D2BD1">
              <w:rPr>
                <w:lang w:val="en-CA"/>
              </w:rPr>
              <w:t>(Whole blood, plasma/serum and</w:t>
            </w:r>
            <w:r>
              <w:rPr>
                <w:lang w:val="en-CA"/>
              </w:rPr>
              <w:t xml:space="preserve"> p</w:t>
            </w:r>
            <w:r w:rsidRPr="00AD3D84">
              <w:rPr>
                <w:lang w:val="en-CA"/>
              </w:rPr>
              <w:t>eripheral blood mononuclear cell</w:t>
            </w:r>
            <w:r>
              <w:rPr>
                <w:lang w:val="en-CA"/>
              </w:rPr>
              <w:t>s</w:t>
            </w:r>
            <w:r w:rsidRPr="009D2BD1">
              <w:rPr>
                <w:lang w:val="en-CA"/>
              </w:rPr>
              <w:t>)</w:t>
            </w:r>
          </w:p>
        </w:tc>
        <w:tc>
          <w:tcPr>
            <w:tcW w:w="4889" w:type="dxa"/>
          </w:tcPr>
          <w:p w14:paraId="478BB607" w14:textId="77777777" w:rsidR="009B11A5" w:rsidRDefault="009B11A5" w:rsidP="009B11A5">
            <w:pPr>
              <w:pStyle w:val="Paragraphedeliste"/>
              <w:numPr>
                <w:ilvl w:val="0"/>
                <w:numId w:val="2"/>
              </w:numPr>
              <w:rPr>
                <w:lang w:val="en-CA"/>
              </w:rPr>
            </w:pPr>
            <w:r w:rsidRPr="00AD3D84">
              <w:rPr>
                <w:lang w:val="en-CA"/>
              </w:rPr>
              <w:t>Blood cells, glucose/insulin/lipid variables</w:t>
            </w:r>
            <w:r>
              <w:rPr>
                <w:lang w:val="en-CA"/>
              </w:rPr>
              <w:t>,</w:t>
            </w:r>
            <w:r w:rsidRPr="00AD3D84">
              <w:rPr>
                <w:lang w:val="en-CA"/>
              </w:rPr>
              <w:t xml:space="preserve"> inflammation</w:t>
            </w:r>
            <w:r>
              <w:rPr>
                <w:lang w:val="en-CA"/>
              </w:rPr>
              <w:t>/immune response</w:t>
            </w:r>
          </w:p>
          <w:p w14:paraId="55D309ED" w14:textId="77777777" w:rsidR="009B11A5" w:rsidRDefault="009B11A5" w:rsidP="009B11A5">
            <w:pPr>
              <w:pStyle w:val="Paragraphedeliste"/>
              <w:numPr>
                <w:ilvl w:val="0"/>
                <w:numId w:val="2"/>
              </w:numPr>
              <w:rPr>
                <w:lang w:val="en-CA"/>
              </w:rPr>
            </w:pPr>
            <w:r w:rsidRPr="00AD3D84">
              <w:rPr>
                <w:lang w:val="en-CA"/>
              </w:rPr>
              <w:t>Hepatic enzymes</w:t>
            </w:r>
          </w:p>
          <w:p w14:paraId="1C30ABB5" w14:textId="77777777" w:rsidR="009B11A5" w:rsidRPr="00AD3D84" w:rsidRDefault="009B11A5" w:rsidP="009B11A5">
            <w:pPr>
              <w:pStyle w:val="Paragraphedeliste"/>
              <w:numPr>
                <w:ilvl w:val="0"/>
                <w:numId w:val="2"/>
              </w:numPr>
              <w:rPr>
                <w:lang w:val="en-CA"/>
              </w:rPr>
            </w:pPr>
            <w:r>
              <w:rPr>
                <w:lang w:val="en-CA"/>
              </w:rPr>
              <w:t xml:space="preserve">Extraction of genomic DNA for assessing genetic </w:t>
            </w:r>
            <w:r w:rsidRPr="009D2BD1">
              <w:rPr>
                <w:lang w:val="en-CA"/>
              </w:rPr>
              <w:t>variation</w:t>
            </w:r>
          </w:p>
          <w:p w14:paraId="1237F3BB" w14:textId="77777777" w:rsidR="009B11A5" w:rsidRPr="009D2BD1" w:rsidRDefault="009B11A5" w:rsidP="00624B86">
            <w:pPr>
              <w:rPr>
                <w:lang w:val="en-CA"/>
              </w:rPr>
            </w:pPr>
          </w:p>
          <w:p w14:paraId="078E1086" w14:textId="77777777" w:rsidR="009B11A5" w:rsidRPr="009D2BD1" w:rsidRDefault="009B11A5" w:rsidP="00624B86">
            <w:pPr>
              <w:rPr>
                <w:lang w:val="en-CA"/>
              </w:rPr>
            </w:pPr>
          </w:p>
          <w:p w14:paraId="701C9202" w14:textId="77777777" w:rsidR="009B11A5" w:rsidRDefault="009B11A5" w:rsidP="00624B86">
            <w:pPr>
              <w:rPr>
                <w:lang w:val="en-CA"/>
              </w:rPr>
            </w:pPr>
          </w:p>
        </w:tc>
        <w:tc>
          <w:tcPr>
            <w:tcW w:w="2067" w:type="dxa"/>
          </w:tcPr>
          <w:p w14:paraId="131A52D0" w14:textId="77777777" w:rsidR="009B11A5" w:rsidRDefault="009B11A5" w:rsidP="00624B86">
            <w:pPr>
              <w:rPr>
                <w:lang w:val="en-CA"/>
              </w:rPr>
            </w:pPr>
            <w:r>
              <w:rPr>
                <w:lang w:val="en-CA"/>
              </w:rPr>
              <w:t>Routine procedures</w:t>
            </w:r>
          </w:p>
        </w:tc>
      </w:tr>
      <w:tr w:rsidR="009B11A5" w14:paraId="0DD048E6" w14:textId="77777777" w:rsidTr="00624B86">
        <w:tc>
          <w:tcPr>
            <w:tcW w:w="2060" w:type="dxa"/>
          </w:tcPr>
          <w:p w14:paraId="1821C3C2" w14:textId="77777777" w:rsidR="009B11A5" w:rsidRDefault="009B11A5" w:rsidP="00624B86">
            <w:pPr>
              <w:rPr>
                <w:lang w:val="en-CA"/>
              </w:rPr>
            </w:pPr>
            <w:r>
              <w:rPr>
                <w:lang w:val="en-CA"/>
              </w:rPr>
              <w:t xml:space="preserve">Blood </w:t>
            </w:r>
          </w:p>
          <w:p w14:paraId="625FA33F" w14:textId="77777777" w:rsidR="009B11A5" w:rsidRDefault="009B11A5" w:rsidP="00624B86">
            <w:pPr>
              <w:rPr>
                <w:lang w:val="en-CA"/>
              </w:rPr>
            </w:pPr>
            <w:r w:rsidRPr="009D2BD1">
              <w:rPr>
                <w:lang w:val="en-CA"/>
              </w:rPr>
              <w:t>(Whole blood, plasma/serum and</w:t>
            </w:r>
            <w:r>
              <w:rPr>
                <w:lang w:val="en-CA"/>
              </w:rPr>
              <w:t xml:space="preserve"> p</w:t>
            </w:r>
            <w:r w:rsidRPr="00AD3D84">
              <w:rPr>
                <w:lang w:val="en-CA"/>
              </w:rPr>
              <w:t>eripheral blood mononuclear cell</w:t>
            </w:r>
            <w:r>
              <w:rPr>
                <w:lang w:val="en-CA"/>
              </w:rPr>
              <w:t>s</w:t>
            </w:r>
            <w:r w:rsidRPr="009D2BD1">
              <w:rPr>
                <w:lang w:val="en-CA"/>
              </w:rPr>
              <w:t>)</w:t>
            </w:r>
          </w:p>
        </w:tc>
        <w:tc>
          <w:tcPr>
            <w:tcW w:w="4889" w:type="dxa"/>
          </w:tcPr>
          <w:p w14:paraId="0A068374" w14:textId="77777777" w:rsidR="009B11A5" w:rsidRDefault="009B11A5" w:rsidP="009B11A5">
            <w:pPr>
              <w:pStyle w:val="Paragraphedeliste"/>
              <w:numPr>
                <w:ilvl w:val="0"/>
                <w:numId w:val="3"/>
              </w:numPr>
              <w:rPr>
                <w:lang w:val="en-CA"/>
              </w:rPr>
            </w:pPr>
            <w:r>
              <w:rPr>
                <w:lang w:val="en-CA"/>
              </w:rPr>
              <w:t>Circulating proteins, metabolites, exosomes and noncoding RNAs relevant to energy homeostasis</w:t>
            </w:r>
          </w:p>
          <w:p w14:paraId="36EDAB45" w14:textId="77777777" w:rsidR="009B11A5" w:rsidRDefault="009B11A5" w:rsidP="009B11A5">
            <w:pPr>
              <w:pStyle w:val="Paragraphedeliste"/>
              <w:numPr>
                <w:ilvl w:val="0"/>
                <w:numId w:val="3"/>
              </w:numPr>
              <w:rPr>
                <w:lang w:val="en-CA"/>
              </w:rPr>
            </w:pPr>
            <w:r>
              <w:rPr>
                <w:lang w:val="en-CA"/>
              </w:rPr>
              <w:t>Extracted DNA and RNA for assessing gene expression</w:t>
            </w:r>
            <w:r w:rsidRPr="009D2BD1">
              <w:rPr>
                <w:lang w:val="en-CA"/>
              </w:rPr>
              <w:t xml:space="preserve"> and epigenetic modification</w:t>
            </w:r>
          </w:p>
        </w:tc>
        <w:tc>
          <w:tcPr>
            <w:tcW w:w="2067" w:type="dxa"/>
          </w:tcPr>
          <w:p w14:paraId="56D03D66" w14:textId="77777777" w:rsidR="009B11A5" w:rsidRDefault="009B11A5" w:rsidP="00624B86">
            <w:pPr>
              <w:rPr>
                <w:lang w:val="en-CA"/>
              </w:rPr>
            </w:pPr>
            <w:r>
              <w:rPr>
                <w:lang w:val="en-CA"/>
              </w:rPr>
              <w:t>Advanced procedures</w:t>
            </w:r>
          </w:p>
        </w:tc>
      </w:tr>
      <w:tr w:rsidR="009B11A5" w14:paraId="0999EFC1" w14:textId="77777777" w:rsidTr="00624B86">
        <w:tc>
          <w:tcPr>
            <w:tcW w:w="2060" w:type="dxa"/>
          </w:tcPr>
          <w:p w14:paraId="0A89670A" w14:textId="77777777" w:rsidR="009B11A5" w:rsidRDefault="009B11A5" w:rsidP="00624B86">
            <w:pPr>
              <w:rPr>
                <w:lang w:val="en-CA"/>
              </w:rPr>
            </w:pPr>
            <w:r>
              <w:rPr>
                <w:lang w:val="en-CA"/>
              </w:rPr>
              <w:t>Urine</w:t>
            </w:r>
          </w:p>
        </w:tc>
        <w:tc>
          <w:tcPr>
            <w:tcW w:w="4889" w:type="dxa"/>
          </w:tcPr>
          <w:p w14:paraId="5442A90C" w14:textId="77777777" w:rsidR="009B11A5" w:rsidRDefault="009B11A5" w:rsidP="009B11A5">
            <w:pPr>
              <w:pStyle w:val="Paragraphedeliste"/>
              <w:numPr>
                <w:ilvl w:val="0"/>
                <w:numId w:val="3"/>
              </w:numPr>
              <w:rPr>
                <w:lang w:val="en-CA"/>
              </w:rPr>
            </w:pPr>
            <w:r>
              <w:rPr>
                <w:lang w:val="en-CA"/>
              </w:rPr>
              <w:t>Ketone bodies to assess compliance in some d</w:t>
            </w:r>
            <w:r w:rsidRPr="00AD3D84">
              <w:rPr>
                <w:lang w:val="en-CA"/>
              </w:rPr>
              <w:t>ietary studies</w:t>
            </w:r>
          </w:p>
          <w:p w14:paraId="1C5C16F7" w14:textId="77777777" w:rsidR="009B11A5" w:rsidRPr="00AD3D84" w:rsidRDefault="009B11A5" w:rsidP="009B11A5">
            <w:pPr>
              <w:pStyle w:val="Paragraphedeliste"/>
              <w:numPr>
                <w:ilvl w:val="0"/>
                <w:numId w:val="3"/>
              </w:numPr>
              <w:rPr>
                <w:lang w:val="en-CA"/>
              </w:rPr>
            </w:pPr>
            <w:r>
              <w:rPr>
                <w:lang w:val="en-CA"/>
              </w:rPr>
              <w:t>Rapid urine test</w:t>
            </w:r>
          </w:p>
        </w:tc>
        <w:tc>
          <w:tcPr>
            <w:tcW w:w="2067" w:type="dxa"/>
          </w:tcPr>
          <w:p w14:paraId="13E9C0E6" w14:textId="77777777" w:rsidR="009B11A5" w:rsidRDefault="009B11A5" w:rsidP="00624B86">
            <w:pPr>
              <w:rPr>
                <w:lang w:val="en-CA"/>
              </w:rPr>
            </w:pPr>
            <w:r>
              <w:rPr>
                <w:lang w:val="en-CA"/>
              </w:rPr>
              <w:t>Routine procedures</w:t>
            </w:r>
          </w:p>
        </w:tc>
      </w:tr>
      <w:tr w:rsidR="009B11A5" w14:paraId="2B22687A" w14:textId="77777777" w:rsidTr="00624B86">
        <w:tc>
          <w:tcPr>
            <w:tcW w:w="2060" w:type="dxa"/>
          </w:tcPr>
          <w:p w14:paraId="718F7B6E" w14:textId="77777777" w:rsidR="009B11A5" w:rsidRDefault="009B11A5" w:rsidP="00624B86">
            <w:pPr>
              <w:rPr>
                <w:lang w:val="en-CA"/>
              </w:rPr>
            </w:pPr>
            <w:r>
              <w:rPr>
                <w:lang w:val="en-CA"/>
              </w:rPr>
              <w:t>Urine</w:t>
            </w:r>
          </w:p>
        </w:tc>
        <w:tc>
          <w:tcPr>
            <w:tcW w:w="4889" w:type="dxa"/>
          </w:tcPr>
          <w:p w14:paraId="287F0D45" w14:textId="77777777" w:rsidR="009B11A5" w:rsidRDefault="009B11A5" w:rsidP="009B11A5">
            <w:pPr>
              <w:pStyle w:val="Paragraphedeliste"/>
              <w:numPr>
                <w:ilvl w:val="0"/>
                <w:numId w:val="3"/>
              </w:numPr>
              <w:rPr>
                <w:lang w:val="en-CA"/>
              </w:rPr>
            </w:pPr>
            <w:r>
              <w:rPr>
                <w:lang w:val="en-CA"/>
              </w:rPr>
              <w:t>Metabolite and peptide profiling</w:t>
            </w:r>
          </w:p>
        </w:tc>
        <w:tc>
          <w:tcPr>
            <w:tcW w:w="2067" w:type="dxa"/>
          </w:tcPr>
          <w:p w14:paraId="2D2CCF88" w14:textId="77777777" w:rsidR="009B11A5" w:rsidRDefault="009B11A5" w:rsidP="00624B86">
            <w:pPr>
              <w:rPr>
                <w:lang w:val="en-CA"/>
              </w:rPr>
            </w:pPr>
            <w:r>
              <w:rPr>
                <w:lang w:val="en-CA"/>
              </w:rPr>
              <w:t>Advanced procedures</w:t>
            </w:r>
          </w:p>
        </w:tc>
      </w:tr>
      <w:tr w:rsidR="009B11A5" w:rsidRPr="00F85CAB" w14:paraId="02CAE1CC" w14:textId="77777777" w:rsidTr="00624B86">
        <w:tc>
          <w:tcPr>
            <w:tcW w:w="2060" w:type="dxa"/>
          </w:tcPr>
          <w:p w14:paraId="620EE284" w14:textId="77777777" w:rsidR="009B11A5" w:rsidRDefault="009B11A5" w:rsidP="00624B86">
            <w:pPr>
              <w:rPr>
                <w:lang w:val="en-CA"/>
              </w:rPr>
            </w:pPr>
            <w:r>
              <w:rPr>
                <w:lang w:val="en-CA"/>
              </w:rPr>
              <w:t>WAT</w:t>
            </w:r>
          </w:p>
        </w:tc>
        <w:tc>
          <w:tcPr>
            <w:tcW w:w="4889" w:type="dxa"/>
          </w:tcPr>
          <w:p w14:paraId="7014C5C1" w14:textId="77777777" w:rsidR="009B11A5" w:rsidRDefault="009B11A5" w:rsidP="009B11A5">
            <w:pPr>
              <w:pStyle w:val="Paragraphedeliste"/>
              <w:numPr>
                <w:ilvl w:val="0"/>
                <w:numId w:val="4"/>
              </w:numPr>
              <w:rPr>
                <w:lang w:val="en-CA"/>
              </w:rPr>
            </w:pPr>
            <w:r>
              <w:rPr>
                <w:lang w:val="en-CA"/>
              </w:rPr>
              <w:t>Needle b</w:t>
            </w:r>
            <w:r w:rsidRPr="00195D96">
              <w:rPr>
                <w:lang w:val="en-CA"/>
              </w:rPr>
              <w:t>iopsies from abdominal subcutaneous WAT</w:t>
            </w:r>
          </w:p>
        </w:tc>
        <w:tc>
          <w:tcPr>
            <w:tcW w:w="2067" w:type="dxa"/>
          </w:tcPr>
          <w:p w14:paraId="67F37B37" w14:textId="77777777" w:rsidR="009B11A5" w:rsidRDefault="009B11A5" w:rsidP="00624B86">
            <w:pPr>
              <w:rPr>
                <w:lang w:val="en-CA"/>
              </w:rPr>
            </w:pPr>
            <w:r>
              <w:rPr>
                <w:lang w:val="en-CA"/>
              </w:rPr>
              <w:t>Advanced procedures*</w:t>
            </w:r>
          </w:p>
        </w:tc>
      </w:tr>
      <w:tr w:rsidR="009B11A5" w:rsidRPr="00F85CAB" w14:paraId="46C07347" w14:textId="77777777" w:rsidTr="00624B86">
        <w:tc>
          <w:tcPr>
            <w:tcW w:w="2060" w:type="dxa"/>
          </w:tcPr>
          <w:p w14:paraId="3C450967" w14:textId="77777777" w:rsidR="009B11A5" w:rsidRDefault="009B11A5" w:rsidP="00624B86">
            <w:pPr>
              <w:rPr>
                <w:lang w:val="en-CA"/>
              </w:rPr>
            </w:pPr>
            <w:r>
              <w:rPr>
                <w:lang w:val="en-CA"/>
              </w:rPr>
              <w:t>Muscle</w:t>
            </w:r>
          </w:p>
        </w:tc>
        <w:tc>
          <w:tcPr>
            <w:tcW w:w="4889" w:type="dxa"/>
          </w:tcPr>
          <w:p w14:paraId="3F869A66" w14:textId="77777777" w:rsidR="009B11A5" w:rsidRPr="00AA1587" w:rsidRDefault="009B11A5" w:rsidP="009B11A5">
            <w:pPr>
              <w:pStyle w:val="Paragraphedeliste"/>
              <w:numPr>
                <w:ilvl w:val="0"/>
                <w:numId w:val="5"/>
              </w:numPr>
              <w:rPr>
                <w:lang w:val="en-CA"/>
              </w:rPr>
            </w:pPr>
            <w:r>
              <w:rPr>
                <w:lang w:val="en-CA"/>
              </w:rPr>
              <w:t>B</w:t>
            </w:r>
            <w:r w:rsidRPr="00195D96">
              <w:rPr>
                <w:lang w:val="en-CA"/>
              </w:rPr>
              <w:t>iopsies</w:t>
            </w:r>
            <w:r>
              <w:rPr>
                <w:lang w:val="en-CA"/>
              </w:rPr>
              <w:t xml:space="preserve"> </w:t>
            </w:r>
            <w:r w:rsidRPr="00195D96">
              <w:rPr>
                <w:lang w:val="en-CA"/>
              </w:rPr>
              <w:t xml:space="preserve">from </w:t>
            </w:r>
            <w:r>
              <w:rPr>
                <w:lang w:val="en-CA"/>
              </w:rPr>
              <w:t>vastus lateralis (Bergströ</w:t>
            </w:r>
            <w:r w:rsidRPr="0008303F">
              <w:rPr>
                <w:lang w:val="en-CA"/>
              </w:rPr>
              <w:t>m needle)</w:t>
            </w:r>
          </w:p>
        </w:tc>
        <w:tc>
          <w:tcPr>
            <w:tcW w:w="2067" w:type="dxa"/>
          </w:tcPr>
          <w:p w14:paraId="29DE0DB4" w14:textId="77777777" w:rsidR="009B11A5" w:rsidRDefault="009B11A5" w:rsidP="00624B86">
            <w:pPr>
              <w:rPr>
                <w:lang w:val="en-CA"/>
              </w:rPr>
            </w:pPr>
            <w:r>
              <w:rPr>
                <w:lang w:val="en-CA"/>
              </w:rPr>
              <w:t>Advanced procedures**</w:t>
            </w:r>
            <w:r w:rsidDel="00FD047B">
              <w:rPr>
                <w:lang w:val="en-CA"/>
              </w:rPr>
              <w:t xml:space="preserve"> </w:t>
            </w:r>
          </w:p>
        </w:tc>
      </w:tr>
      <w:tr w:rsidR="009B11A5" w14:paraId="699A61FD" w14:textId="77777777" w:rsidTr="00624B86">
        <w:tc>
          <w:tcPr>
            <w:tcW w:w="2060" w:type="dxa"/>
          </w:tcPr>
          <w:p w14:paraId="6013502B" w14:textId="77777777" w:rsidR="009B11A5" w:rsidRDefault="009B11A5" w:rsidP="00624B86">
            <w:pPr>
              <w:rPr>
                <w:lang w:val="en-CA"/>
              </w:rPr>
            </w:pPr>
            <w:r>
              <w:rPr>
                <w:lang w:val="en-CA"/>
              </w:rPr>
              <w:t>Liver</w:t>
            </w:r>
          </w:p>
        </w:tc>
        <w:tc>
          <w:tcPr>
            <w:tcW w:w="4889" w:type="dxa"/>
          </w:tcPr>
          <w:p w14:paraId="5FF7789B" w14:textId="77777777" w:rsidR="009B11A5" w:rsidRPr="00195D96" w:rsidRDefault="009B11A5" w:rsidP="009B11A5">
            <w:pPr>
              <w:pStyle w:val="Paragraphedeliste"/>
              <w:numPr>
                <w:ilvl w:val="0"/>
                <w:numId w:val="6"/>
              </w:numPr>
              <w:rPr>
                <w:lang w:val="en-CA"/>
              </w:rPr>
            </w:pPr>
            <w:r>
              <w:rPr>
                <w:lang w:val="en-CA"/>
              </w:rPr>
              <w:t xml:space="preserve">Measures of </w:t>
            </w:r>
            <w:r w:rsidRPr="00195D96">
              <w:rPr>
                <w:lang w:val="en-CA"/>
              </w:rPr>
              <w:t>NAFLD</w:t>
            </w:r>
          </w:p>
        </w:tc>
        <w:tc>
          <w:tcPr>
            <w:tcW w:w="2067" w:type="dxa"/>
          </w:tcPr>
          <w:p w14:paraId="33DABD3B" w14:textId="77777777" w:rsidR="009B11A5" w:rsidRPr="0008303F" w:rsidRDefault="009B11A5" w:rsidP="00624B86">
            <w:pPr>
              <w:rPr>
                <w:lang w:val="en-CA"/>
              </w:rPr>
            </w:pPr>
            <w:r>
              <w:rPr>
                <w:lang w:val="en-CA"/>
              </w:rPr>
              <w:t>Ultrasound</w:t>
            </w:r>
          </w:p>
        </w:tc>
      </w:tr>
    </w:tbl>
    <w:p w14:paraId="62AE13C7" w14:textId="77777777" w:rsidR="009B11A5" w:rsidRDefault="009B11A5" w:rsidP="009B11A5">
      <w:pPr>
        <w:rPr>
          <w:lang w:val="en-CA"/>
        </w:rPr>
      </w:pPr>
    </w:p>
    <w:p w14:paraId="4B39B693" w14:textId="09C5D6DA" w:rsidR="009B11A5" w:rsidRDefault="009B11A5" w:rsidP="009B11A5">
      <w:pPr>
        <w:rPr>
          <w:lang w:val="en-CA"/>
        </w:rPr>
      </w:pPr>
      <w:r>
        <w:rPr>
          <w:lang w:val="en-CA"/>
        </w:rPr>
        <w:t>For BIA or DXA or MRI, use the same equipment for all study samples. Use c</w:t>
      </w:r>
      <w:r w:rsidRPr="0008303F">
        <w:rPr>
          <w:lang w:val="en-CA"/>
        </w:rPr>
        <w:t>ollagenase</w:t>
      </w:r>
      <w:r>
        <w:rPr>
          <w:lang w:val="en-CA"/>
        </w:rPr>
        <w:t xml:space="preserve"> </w:t>
      </w:r>
      <w:r w:rsidRPr="0008303F">
        <w:rPr>
          <w:lang w:val="en-CA"/>
        </w:rPr>
        <w:t>treatment for isolation of fat cells (Rodbell method</w:t>
      </w:r>
      <w:r>
        <w:rPr>
          <w:lang w:val="en-CA"/>
        </w:rPr>
        <w:t xml:space="preserve">: </w:t>
      </w:r>
      <w:r>
        <w:rPr>
          <w:lang w:val="en-CA"/>
        </w:rPr>
        <w:fldChar w:fldCharType="begin" w:fldLock="1"/>
      </w:r>
      <w:r w:rsidR="00F07B98">
        <w:rPr>
          <w:lang w:val="en-CA"/>
        </w:rPr>
        <w:instrText>ADDIN CSL_CITATION {"citationItems":[{"id":"ITEM-1","itemData":{"ISSN":"0021-9258","PMID":"14169133","author":[{"dropping-particle":"","family":"Rodbell","given":"M","non-dropping-particle":"","parse-names":false,"suffix":""}],"container-title":"The Journal of biological chemistry","id":"ITEM-1","issued":{"date-parts":[["1964","2"]]},"page":"375-80","title":"METABOLISM OF ISOLATED FAT CELLS. I. EFFECTS OF HORMONES ON GLUCOSE METABOLISM AND LIPOLYSIS.","type":"article-journal","volume":"239"},"uris":["http://www.mendeley.com/documents/?uuid=87de77d2-c101-3385-97ab-90cd36a449f8"]}],"mendeley":{"formattedCitation":"(23)","manualFormatting":"Rodbell, 1964","plainTextFormattedCitation":"(23)","previouslyFormattedCitation":"(Rodbell, 1964)"},"properties":{"noteIndex":0},"schema":"https://github.com/citation-style-language/schema/raw/master/csl-citation.json"}</w:instrText>
      </w:r>
      <w:r>
        <w:rPr>
          <w:lang w:val="en-CA"/>
        </w:rPr>
        <w:fldChar w:fldCharType="separate"/>
      </w:r>
      <w:r w:rsidRPr="00334E0C">
        <w:rPr>
          <w:noProof/>
          <w:lang w:val="en-CA"/>
        </w:rPr>
        <w:t>Rodbell, 1964</w:t>
      </w:r>
      <w:r>
        <w:rPr>
          <w:lang w:val="en-CA"/>
        </w:rPr>
        <w:fldChar w:fldCharType="end"/>
      </w:r>
      <w:r w:rsidRPr="0008303F">
        <w:rPr>
          <w:lang w:val="en-CA"/>
        </w:rPr>
        <w:t xml:space="preserve">), measures of </w:t>
      </w:r>
      <w:r>
        <w:rPr>
          <w:lang w:val="en-CA"/>
        </w:rPr>
        <w:t>fat cell volume</w:t>
      </w:r>
      <w:r w:rsidRPr="0008303F">
        <w:rPr>
          <w:lang w:val="en-CA"/>
        </w:rPr>
        <w:t xml:space="preserve"> by</w:t>
      </w:r>
      <w:r>
        <w:rPr>
          <w:lang w:val="en-CA"/>
        </w:rPr>
        <w:t xml:space="preserve"> </w:t>
      </w:r>
      <w:r w:rsidRPr="0008303F">
        <w:rPr>
          <w:lang w:val="en-CA"/>
        </w:rPr>
        <w:t>light microscopy (n=100) and corrected for SD in volume (Hirsch</w:t>
      </w:r>
      <w:r>
        <w:rPr>
          <w:lang w:val="en-CA"/>
        </w:rPr>
        <w:t xml:space="preserve"> </w:t>
      </w:r>
      <w:r w:rsidRPr="0008303F">
        <w:rPr>
          <w:lang w:val="en-CA"/>
        </w:rPr>
        <w:t>method</w:t>
      </w:r>
      <w:r>
        <w:rPr>
          <w:lang w:val="en-CA"/>
        </w:rPr>
        <w:t xml:space="preserve">: </w:t>
      </w:r>
      <w:r>
        <w:rPr>
          <w:lang w:val="en-CA"/>
        </w:rPr>
        <w:fldChar w:fldCharType="begin" w:fldLock="1"/>
      </w:r>
      <w:r w:rsidR="00F07B98">
        <w:rPr>
          <w:lang w:val="en-CA"/>
        </w:rPr>
        <w:instrText>ADDIN CSL_CITATION {"citationItems":[{"id":"ITEM-1","itemData":{"ISSN":"0022-2275","PMID":"4295346","abstract":"Four methods for the sizing of adipose cells in small samples of human or animal adipose tissue are compared. These methods depend on the preparation of cell suspensions by incubation of the tissue with collagenase or by prolonged fixation with osmium tetroxide and separation of the fixed cells. A Coulter electronic counter was used to count and size the suspended cells and a Zeiss particle size analyzer for the sizing of cells in photomicrographs. The use of the Coulter counter to count cells in a suspension derived from a known amount of tissue and subjected to osmium tetroxide fixation is recommended for accuracy and general applicability to adipose cells of all sizes in man and animals.","author":[{"dropping-particle":"","family":"Hirsch","given":"J","non-dropping-particle":"","parse-names":false,"suffix":""},{"dropping-particle":"","family":"Gallian","given":"E","non-dropping-particle":"","parse-names":false,"suffix":""}],"container-title":"Journal of lipid research","id":"ITEM-1","issue":"1","issued":{"date-parts":[["1968","1"]]},"page":"110-9","title":"Methods for the determination of adipose cell size in man and animals.","type":"article-journal","volume":"9"},"uris":["http://www.mendeley.com/documents/?uuid=2ab3e822-96e5-31eb-be60-a511bfdcf300"]}],"mendeley":{"formattedCitation":"(24)","manualFormatting":"Hirsch &amp; Gallian, 1968","plainTextFormattedCitation":"(24)","previouslyFormattedCitation":"(Hirsch &amp; Gallian, 1968)"},"properties":{"noteIndex":0},"schema":"https://github.com/citation-style-language/schema/raw/master/csl-citation.json"}</w:instrText>
      </w:r>
      <w:r>
        <w:rPr>
          <w:lang w:val="en-CA"/>
        </w:rPr>
        <w:fldChar w:fldCharType="separate"/>
      </w:r>
      <w:r w:rsidRPr="00334E0C">
        <w:rPr>
          <w:noProof/>
          <w:lang w:val="en-CA"/>
        </w:rPr>
        <w:t>Hirsch &amp; Gallian, 1968</w:t>
      </w:r>
      <w:r>
        <w:rPr>
          <w:lang w:val="en-CA"/>
        </w:rPr>
        <w:fldChar w:fldCharType="end"/>
      </w:r>
      <w:r w:rsidRPr="0008303F">
        <w:rPr>
          <w:lang w:val="en-CA"/>
        </w:rPr>
        <w:t>). Glycerol method by bioluminescence.</w:t>
      </w:r>
    </w:p>
    <w:p w14:paraId="001DF3DB" w14:textId="77777777" w:rsidR="009B11A5" w:rsidRDefault="009B11A5" w:rsidP="009B11A5">
      <w:pPr>
        <w:rPr>
          <w:lang w:val="en-CA"/>
        </w:rPr>
      </w:pPr>
      <w:r>
        <w:rPr>
          <w:lang w:val="en-CA"/>
        </w:rPr>
        <w:t>*Samples of WAT can be used for various applications:</w:t>
      </w:r>
    </w:p>
    <w:p w14:paraId="1820D2DB" w14:textId="77777777" w:rsidR="009B11A5" w:rsidRDefault="009B11A5" w:rsidP="009B11A5">
      <w:pPr>
        <w:pStyle w:val="Paragraphedeliste"/>
        <w:numPr>
          <w:ilvl w:val="0"/>
          <w:numId w:val="6"/>
        </w:numPr>
        <w:rPr>
          <w:lang w:val="en-CA"/>
        </w:rPr>
      </w:pPr>
      <w:r w:rsidRPr="00AA1587">
        <w:rPr>
          <w:lang w:val="en-CA"/>
        </w:rPr>
        <w:t>Whole tissue: immunohistochemistry; transcriptomic; Western blot;</w:t>
      </w:r>
      <w:r>
        <w:rPr>
          <w:lang w:val="en-CA"/>
        </w:rPr>
        <w:t xml:space="preserve"> etc.</w:t>
      </w:r>
    </w:p>
    <w:p w14:paraId="3E45DB2D" w14:textId="6485A4E3" w:rsidR="009B11A5" w:rsidRPr="005216F9" w:rsidRDefault="009B11A5" w:rsidP="009B11A5">
      <w:pPr>
        <w:pStyle w:val="Paragraphedeliste"/>
        <w:numPr>
          <w:ilvl w:val="0"/>
          <w:numId w:val="6"/>
        </w:numPr>
      </w:pPr>
      <w:r w:rsidRPr="00E53B80">
        <w:t>Ex vivo explant cultures : secretomic</w:t>
      </w:r>
      <w:r w:rsidR="00F07B98">
        <w:t>s</w:t>
      </w:r>
      <w:r w:rsidRPr="00E53B80">
        <w:t>;</w:t>
      </w:r>
      <w:r>
        <w:t xml:space="preserve"> etc.</w:t>
      </w:r>
    </w:p>
    <w:p w14:paraId="18F6175C" w14:textId="77777777" w:rsidR="009B11A5" w:rsidRPr="00AA1587" w:rsidRDefault="009B11A5" w:rsidP="009B11A5">
      <w:pPr>
        <w:pStyle w:val="Paragraphedeliste"/>
        <w:numPr>
          <w:ilvl w:val="0"/>
          <w:numId w:val="6"/>
        </w:numPr>
        <w:rPr>
          <w:lang w:val="en-CA"/>
        </w:rPr>
      </w:pPr>
      <w:r w:rsidRPr="00AA1587">
        <w:rPr>
          <w:lang w:val="en-CA"/>
        </w:rPr>
        <w:t>Enzymatic digestion (Rodbell’s and derived methods)</w:t>
      </w:r>
      <w:r>
        <w:rPr>
          <w:lang w:val="en-CA"/>
        </w:rPr>
        <w:t xml:space="preserve">: </w:t>
      </w:r>
      <w:r w:rsidRPr="00AA1587">
        <w:rPr>
          <w:lang w:val="en-CA"/>
        </w:rPr>
        <w:t>fat cells to determine fat cell volume by light microscopy (Hirsch method); metabolic assays on isolated fat cells</w:t>
      </w:r>
      <w:r>
        <w:rPr>
          <w:lang w:val="en-CA"/>
        </w:rPr>
        <w:t xml:space="preserve"> (</w:t>
      </w:r>
      <w:r w:rsidRPr="00AA1587">
        <w:rPr>
          <w:lang w:val="en-CA"/>
        </w:rPr>
        <w:t>e.g. lipolysis through glycerol release measurement</w:t>
      </w:r>
      <w:r>
        <w:rPr>
          <w:lang w:val="en-CA"/>
        </w:rPr>
        <w:t>)</w:t>
      </w:r>
      <w:r w:rsidRPr="00AA1587">
        <w:rPr>
          <w:lang w:val="en-CA"/>
        </w:rPr>
        <w:t>; transcriptomic analyses; stromavascular fraction to do differentiated preadipocyte cultures</w:t>
      </w:r>
      <w:r>
        <w:rPr>
          <w:lang w:val="en-CA"/>
        </w:rPr>
        <w:t>.</w:t>
      </w:r>
    </w:p>
    <w:p w14:paraId="33EAF173" w14:textId="77777777" w:rsidR="009B11A5" w:rsidRDefault="009B11A5" w:rsidP="009B11A5">
      <w:pPr>
        <w:rPr>
          <w:lang w:val="en-CA"/>
        </w:rPr>
      </w:pPr>
      <w:r>
        <w:rPr>
          <w:lang w:val="en-CA"/>
        </w:rPr>
        <w:t xml:space="preserve">**Samples of skeletal muscle can be used for various applications: </w:t>
      </w:r>
    </w:p>
    <w:p w14:paraId="573D9820" w14:textId="77777777" w:rsidR="009B11A5" w:rsidRDefault="009B11A5" w:rsidP="009B11A5">
      <w:pPr>
        <w:pStyle w:val="Paragraphedeliste"/>
        <w:numPr>
          <w:ilvl w:val="0"/>
          <w:numId w:val="10"/>
        </w:numPr>
        <w:rPr>
          <w:lang w:val="en-CA"/>
        </w:rPr>
      </w:pPr>
      <w:r w:rsidRPr="00AA1587">
        <w:rPr>
          <w:lang w:val="en-CA"/>
        </w:rPr>
        <w:t xml:space="preserve">Whole tissue: immunohistochemistry (fiber typing); transcriptomic; Western blot; </w:t>
      </w:r>
      <w:r>
        <w:rPr>
          <w:lang w:val="en-CA"/>
        </w:rPr>
        <w:t>etc.</w:t>
      </w:r>
    </w:p>
    <w:p w14:paraId="7101EB2C" w14:textId="77777777" w:rsidR="009B11A5" w:rsidRDefault="009B11A5" w:rsidP="009B11A5">
      <w:pPr>
        <w:pStyle w:val="Paragraphedeliste"/>
        <w:numPr>
          <w:ilvl w:val="0"/>
          <w:numId w:val="10"/>
        </w:numPr>
        <w:rPr>
          <w:lang w:val="en-CA"/>
        </w:rPr>
      </w:pPr>
      <w:r w:rsidRPr="00AA1587">
        <w:rPr>
          <w:lang w:val="en-CA"/>
        </w:rPr>
        <w:t>Ex vivo skeletal muscle substrate metabolism</w:t>
      </w:r>
    </w:p>
    <w:p w14:paraId="71A7F83C" w14:textId="77777777" w:rsidR="009B11A5" w:rsidRPr="00AA1587" w:rsidRDefault="009B11A5" w:rsidP="009B11A5">
      <w:pPr>
        <w:pStyle w:val="Paragraphedeliste"/>
        <w:numPr>
          <w:ilvl w:val="0"/>
          <w:numId w:val="10"/>
        </w:numPr>
        <w:rPr>
          <w:lang w:val="en-CA"/>
        </w:rPr>
      </w:pPr>
      <w:r w:rsidRPr="00AA1587">
        <w:rPr>
          <w:lang w:val="en-CA"/>
        </w:rPr>
        <w:t>Enzymatic digestion to prepare myoblasts that can be differentiated into myotubes</w:t>
      </w:r>
    </w:p>
    <w:p w14:paraId="53EAFC5F" w14:textId="5D51FE03" w:rsidR="009B11A5" w:rsidRPr="00AA1587" w:rsidRDefault="009B11A5" w:rsidP="009B11A5">
      <w:pPr>
        <w:rPr>
          <w:lang w:val="en-CA"/>
        </w:rPr>
      </w:pPr>
      <w:r w:rsidRPr="00AA1587">
        <w:rPr>
          <w:lang w:val="en-CA"/>
        </w:rPr>
        <w:t xml:space="preserve">The group noted that the definition and diagnosis of sarcopenia were addressed by a recent European consensus </w:t>
      </w:r>
      <w:r w:rsidRPr="00AA1587">
        <w:rPr>
          <w:lang w:val="en-CA"/>
        </w:rPr>
        <w:fldChar w:fldCharType="begin" w:fldLock="1"/>
      </w:r>
      <w:r w:rsidR="00F07B98">
        <w:rPr>
          <w:lang w:val="en-CA"/>
        </w:rPr>
        <w:instrText>ADDIN CSL_CITATION {"citationItems":[{"id":"ITEM-1","itemData":{"DOI":"10.1093/ageing/afy169","ISSN":"0002-0729","PMID":"30312372","abstract":"Background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Pierre","non-dropping-particle":"","parse-names":false,"suffix":""},{"dropping-particle":"","family":"Pitkala","given":"Kaisu","non-dropping-particle":"","parse-names":false,"suffix":""},{"dropping-particle":"","family":"Reginster","given":"Jean-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Ageing","id":"ITEM-1","issue":"1","issued":{"date-parts":[["2018","1","1"]]},"page":"16-31","title":"Sarcopenia: revised European consensus on definition and diagnosis","type":"article-journal","volume":"48"},"uris":["http://www.mendeley.com/documents/?uuid=db49b1bf-2009-33ef-bdfa-28513176d875"]}],"mendeley":{"formattedCitation":"(25)","plainTextFormattedCitation":"(25)","previouslyFormattedCitation":"(Cruz-Jentoft et al., 2018)"},"properties":{"noteIndex":0},"schema":"https://github.com/citation-style-language/schema/raw/master/csl-citation.json"}</w:instrText>
      </w:r>
      <w:r w:rsidRPr="00AA1587">
        <w:rPr>
          <w:lang w:val="en-CA"/>
        </w:rPr>
        <w:fldChar w:fldCharType="separate"/>
      </w:r>
      <w:r w:rsidR="00F07B98" w:rsidRPr="00F07B98">
        <w:rPr>
          <w:noProof/>
          <w:lang w:val="en-CA"/>
        </w:rPr>
        <w:t>(25)</w:t>
      </w:r>
      <w:r w:rsidRPr="00AA1587">
        <w:rPr>
          <w:lang w:val="en-CA"/>
        </w:rPr>
        <w:fldChar w:fldCharType="end"/>
      </w:r>
      <w:r w:rsidRPr="00AA1587">
        <w:rPr>
          <w:lang w:val="en-CA"/>
        </w:rPr>
        <w:t xml:space="preserve">, and the expert group recommended that, in studies where sarcopenia is of interest (in the expanded set), researchers follow the procedures outlined in the consensus paper: screen for possible sarcopenia using a short questionnaire called the SARC-F </w:t>
      </w:r>
      <w:r w:rsidRPr="00AA1587">
        <w:rPr>
          <w:lang w:val="en-CA"/>
        </w:rPr>
        <w:fldChar w:fldCharType="begin" w:fldLock="1"/>
      </w:r>
      <w:r w:rsidR="00F07B98">
        <w:rPr>
          <w:lang w:val="en-CA"/>
        </w:rPr>
        <w:instrText>ADDIN CSL_CITATION {"citationItems":[{"id":"ITEM-1","itemData":{"DOI":"10.1016/j.jamda.2013.05.018","ISSN":"15258610","PMID":"23810110","author":[{"dropping-particle":"","family":"Malmstrom","given":"Theodore K.","non-dropping-particle":"","parse-names":false,"suffix":""},{"dropping-particle":"","family":"Morley","given":"John E.","non-dropping-particle":"","parse-names":false,"suffix":""}],"container-title":"Journal of the American Medical Directors Association","id":"ITEM-1","issue":"8","issued":{"date-parts":[["2013","8"]]},"page":"531-532","title":"SARC-F: A Simple Questionnaire to Rapidly Diagnose Sarcopenia","type":"article-journal","volume":"14"},"uris":["http://www.mendeley.com/documents/?uuid=c842f226-9e7d-3646-8707-52e672c67893"]}],"mendeley":{"formattedCitation":"(26)","plainTextFormattedCitation":"(26)","previouslyFormattedCitation":"(Malmstrom &amp; Morley, 2013)"},"properties":{"noteIndex":0},"schema":"https://github.com/citation-style-language/schema/raw/master/csl-citation.json"}</w:instrText>
      </w:r>
      <w:r w:rsidRPr="00AA1587">
        <w:rPr>
          <w:lang w:val="en-CA"/>
        </w:rPr>
        <w:fldChar w:fldCharType="separate"/>
      </w:r>
      <w:r w:rsidR="00F07B98" w:rsidRPr="00F07B98">
        <w:rPr>
          <w:noProof/>
          <w:lang w:val="en-CA"/>
        </w:rPr>
        <w:t>(26)</w:t>
      </w:r>
      <w:r w:rsidRPr="00AA1587">
        <w:rPr>
          <w:lang w:val="en-CA"/>
        </w:rPr>
        <w:fldChar w:fldCharType="end"/>
      </w:r>
      <w:r w:rsidRPr="00AA1587">
        <w:rPr>
          <w:lang w:val="en-CA"/>
        </w:rPr>
        <w:t xml:space="preserve">, assess for sarcopenia using a test of muscle strength (either grip strength or chair stand test), assess muscle </w:t>
      </w:r>
      <w:r w:rsidRPr="00AA1587">
        <w:rPr>
          <w:lang w:val="en-CA"/>
        </w:rPr>
        <w:lastRenderedPageBreak/>
        <w:t xml:space="preserve">mass deficit using BIA, DXA, or CT scan, and finally, assess the severity using muscle performance tests. </w:t>
      </w:r>
    </w:p>
    <w:p w14:paraId="78E0BBF9" w14:textId="77777777" w:rsidR="009B11A5" w:rsidRPr="005405AB" w:rsidRDefault="009B11A5" w:rsidP="005405AB">
      <w:pPr>
        <w:keepNext/>
        <w:spacing w:after="120" w:line="360" w:lineRule="auto"/>
        <w:ind w:left="720" w:hanging="720"/>
        <w:outlineLvl w:val="2"/>
        <w:rPr>
          <w:rFonts w:ascii="Cambria" w:eastAsia="Times New Roman" w:hAnsi="Cambria"/>
          <w:b/>
          <w:bCs/>
          <w:sz w:val="26"/>
          <w:szCs w:val="26"/>
          <w:lang w:val="en-US" w:eastAsia="de-CH"/>
        </w:rPr>
      </w:pPr>
      <w:r w:rsidRPr="005405AB">
        <w:rPr>
          <w:rFonts w:ascii="Cambria" w:eastAsia="Times New Roman" w:hAnsi="Cambria"/>
          <w:b/>
          <w:bCs/>
          <w:sz w:val="26"/>
          <w:szCs w:val="26"/>
          <w:lang w:val="en-US" w:eastAsia="de-CH"/>
        </w:rPr>
        <w:t>Genetics</w:t>
      </w:r>
    </w:p>
    <w:p w14:paraId="60983C23" w14:textId="77777777" w:rsidR="009B11A5" w:rsidRPr="002242B1" w:rsidRDefault="009B11A5" w:rsidP="009B11A5">
      <w:pPr>
        <w:rPr>
          <w:lang w:val="en-US"/>
        </w:rPr>
      </w:pPr>
      <w:r>
        <w:rPr>
          <w:lang w:val="en-US"/>
        </w:rPr>
        <w:t>Conduct genetic analysis from blood (not saliva) sample.</w:t>
      </w:r>
    </w:p>
    <w:p w14:paraId="4B47EE25" w14:textId="77777777" w:rsidR="009B11A5" w:rsidRPr="005405AB" w:rsidRDefault="009B11A5" w:rsidP="005405AB">
      <w:pPr>
        <w:keepNext/>
        <w:spacing w:after="120" w:line="360" w:lineRule="auto"/>
        <w:ind w:left="720" w:hanging="720"/>
        <w:outlineLvl w:val="2"/>
        <w:rPr>
          <w:rFonts w:ascii="Cambria" w:eastAsia="Times New Roman" w:hAnsi="Cambria"/>
          <w:b/>
          <w:bCs/>
          <w:sz w:val="26"/>
          <w:szCs w:val="26"/>
          <w:lang w:val="en-US" w:eastAsia="de-CH"/>
        </w:rPr>
      </w:pPr>
      <w:r w:rsidRPr="005405AB">
        <w:rPr>
          <w:rFonts w:ascii="Cambria" w:eastAsia="Times New Roman" w:hAnsi="Cambria"/>
          <w:b/>
          <w:bCs/>
          <w:sz w:val="26"/>
          <w:szCs w:val="26"/>
          <w:lang w:val="en-US" w:eastAsia="de-CH"/>
        </w:rPr>
        <w:t>Omics</w:t>
      </w:r>
    </w:p>
    <w:p w14:paraId="2187DCB5" w14:textId="5FF90AFC" w:rsidR="009B11A5" w:rsidRPr="008F4534" w:rsidRDefault="009B11A5" w:rsidP="009B11A5">
      <w:pPr>
        <w:rPr>
          <w:lang w:val="en-US"/>
        </w:rPr>
      </w:pPr>
      <w:r>
        <w:rPr>
          <w:lang w:val="en-US"/>
        </w:rPr>
        <w:t>The r</w:t>
      </w:r>
      <w:r w:rsidRPr="008F4534">
        <w:rPr>
          <w:lang w:val="en-US"/>
        </w:rPr>
        <w:t>esearchers recognize</w:t>
      </w:r>
      <w:r>
        <w:rPr>
          <w:lang w:val="en-US"/>
        </w:rPr>
        <w:t>d</w:t>
      </w:r>
      <w:r w:rsidRPr="008F4534">
        <w:rPr>
          <w:lang w:val="en-US"/>
        </w:rPr>
        <w:t xml:space="preserve"> the need to integrate approaches and combine diverse types of data using integrated multi-omics approaches </w:t>
      </w:r>
      <w:r w:rsidRPr="008F4534">
        <w:rPr>
          <w:lang w:val="en-US"/>
        </w:rPr>
        <w:fldChar w:fldCharType="begin" w:fldLock="1"/>
      </w:r>
      <w:r w:rsidR="00F07B98">
        <w:rPr>
          <w:lang w:val="en-US"/>
        </w:rPr>
        <w:instrText>ADDIN CSL_CITATION {"citationItems":[{"id":"ITEM-1","itemData":{"DOI":"10.1038/nrg.2018.4","ISSN":"1471-0056","abstract":"This article discusses how integrating different omics data types — such as DNA sequencing, transcriptomics and metabolomics — can provide a rich view of healthy and disease states, including novel clinical diagnoses. The authors discuss the value of the different data types, as well as strategies, considerations and challenges for multi-omic integration in various disease contexts.","author":[{"dropping-particle":"","family":"Karczewski","given":"Konrad J.","non-dropping-particle":"","parse-names":false,"suffix":""},{"dropping-particle":"","family":"Snyder","given":"Michael P.","non-dropping-particle":"","parse-names":false,"suffix":""}],"container-title":"Nature Reviews Genetics","id":"ITEM-1","issue":"5","issued":{"date-parts":[["2018","2","26"]]},"page":"299-310","publisher":"Nature Publishing Group","title":"Integrative omics for health and disease","type":"article-journal","volume":"19"},"uris":["http://www.mendeley.com/documents/?uuid=e3da823b-b92b-3717-bc1e-f8ec467a5394"]}],"mendeley":{"formattedCitation":"(27)","plainTextFormattedCitation":"(27)","previouslyFormattedCitation":"(Karczewski &amp; Snyder, 2018)"},"properties":{"noteIndex":0},"schema":"https://github.com/citation-style-language/schema/raw/master/csl-citation.json"}</w:instrText>
      </w:r>
      <w:r w:rsidRPr="008F4534">
        <w:rPr>
          <w:lang w:val="en-US"/>
        </w:rPr>
        <w:fldChar w:fldCharType="separate"/>
      </w:r>
      <w:r w:rsidR="00F07B98" w:rsidRPr="00F07B98">
        <w:rPr>
          <w:noProof/>
          <w:lang w:val="en-US"/>
        </w:rPr>
        <w:t>(27)</w:t>
      </w:r>
      <w:r w:rsidRPr="008F4534">
        <w:rPr>
          <w:lang w:val="en-US"/>
        </w:rPr>
        <w:fldChar w:fldCharType="end"/>
      </w:r>
      <w:r w:rsidRPr="008F4534">
        <w:rPr>
          <w:lang w:val="en-US"/>
        </w:rPr>
        <w:t>, which are the gold standard in the field.</w:t>
      </w:r>
      <w:r>
        <w:rPr>
          <w:lang w:val="en-US"/>
        </w:rPr>
        <w:t xml:space="preserve"> The following general guidelines apply:</w:t>
      </w:r>
    </w:p>
    <w:p w14:paraId="742AC85E" w14:textId="77777777" w:rsidR="009B11A5" w:rsidRPr="008F4534" w:rsidRDefault="009B11A5" w:rsidP="009B11A5">
      <w:pPr>
        <w:pStyle w:val="Paragraphedeliste"/>
        <w:numPr>
          <w:ilvl w:val="0"/>
          <w:numId w:val="7"/>
        </w:numPr>
        <w:rPr>
          <w:lang w:val="en-US"/>
        </w:rPr>
      </w:pPr>
      <w:r>
        <w:rPr>
          <w:lang w:val="en-US"/>
        </w:rPr>
        <w:t>B</w:t>
      </w:r>
      <w:r w:rsidRPr="008F4534">
        <w:rPr>
          <w:lang w:val="en-US"/>
        </w:rPr>
        <w:t>ecause of the large amount of complex data generated by omics studies, specialized expertise in bioinformatic analysis is essential—not just for analyzing the data after collection (models to apply/build, transformations needed), but also for the initial design of the study (power calculations, planned analysis methods).</w:t>
      </w:r>
    </w:p>
    <w:p w14:paraId="2855BC54" w14:textId="77777777" w:rsidR="009B11A5" w:rsidRPr="008F4534" w:rsidRDefault="009B11A5" w:rsidP="009B11A5">
      <w:pPr>
        <w:pStyle w:val="Paragraphedeliste"/>
        <w:numPr>
          <w:ilvl w:val="0"/>
          <w:numId w:val="7"/>
        </w:numPr>
        <w:rPr>
          <w:lang w:val="en-US"/>
        </w:rPr>
      </w:pPr>
      <w:r w:rsidRPr="008F4534">
        <w:rPr>
          <w:lang w:val="en-US"/>
        </w:rPr>
        <w:t>For multi-centre studies, clear standard operating pr</w:t>
      </w:r>
      <w:r>
        <w:rPr>
          <w:lang w:val="en-US"/>
        </w:rPr>
        <w:t>ocedures</w:t>
      </w:r>
      <w:r w:rsidRPr="008F4534">
        <w:rPr>
          <w:lang w:val="en-US"/>
        </w:rPr>
        <w:t xml:space="preserve"> (SOPs) should be in place</w:t>
      </w:r>
      <w:r>
        <w:rPr>
          <w:lang w:val="en-US"/>
        </w:rPr>
        <w:t xml:space="preserve"> from sample collection through to final analysis</w:t>
      </w:r>
      <w:r w:rsidRPr="008F4534">
        <w:rPr>
          <w:lang w:val="en-US"/>
        </w:rPr>
        <w:t>, with appropriate infrastructure in all participating centres. This allows comparability of the data across different sites.</w:t>
      </w:r>
    </w:p>
    <w:p w14:paraId="7C26B7DB" w14:textId="77777777" w:rsidR="009B11A5" w:rsidRPr="008F4534" w:rsidRDefault="009B11A5" w:rsidP="009B11A5">
      <w:pPr>
        <w:pStyle w:val="Paragraphedeliste"/>
        <w:numPr>
          <w:ilvl w:val="0"/>
          <w:numId w:val="7"/>
        </w:numPr>
        <w:rPr>
          <w:lang w:val="en-US"/>
        </w:rPr>
      </w:pPr>
      <w:r w:rsidRPr="008F4534">
        <w:rPr>
          <w:lang w:val="en-US"/>
        </w:rPr>
        <w:t>Work should be centralized as much as possible to minimize variability, lest the interlab variability overshadow any true variability from sample to sample.</w:t>
      </w:r>
    </w:p>
    <w:p w14:paraId="7468487D" w14:textId="77777777" w:rsidR="009B11A5" w:rsidRPr="008F4534" w:rsidRDefault="009B11A5" w:rsidP="009B11A5">
      <w:pPr>
        <w:rPr>
          <w:i/>
          <w:lang w:val="en-US"/>
        </w:rPr>
      </w:pPr>
      <w:r w:rsidRPr="006E1BBE">
        <w:rPr>
          <w:i/>
          <w:lang w:val="en-US"/>
        </w:rPr>
        <w:t>Sample storage recommendations</w:t>
      </w:r>
    </w:p>
    <w:p w14:paraId="5FB1CE08" w14:textId="77777777" w:rsidR="009B11A5" w:rsidRPr="008F4534" w:rsidRDefault="009B11A5" w:rsidP="009B11A5">
      <w:pPr>
        <w:rPr>
          <w:lang w:val="en-US"/>
        </w:rPr>
      </w:pPr>
      <w:r w:rsidRPr="008F4534">
        <w:rPr>
          <w:lang w:val="en-US"/>
        </w:rPr>
        <w:t>SOPs for sample collection and storage are agreed upon and written.</w:t>
      </w:r>
    </w:p>
    <w:p w14:paraId="4339F507" w14:textId="57E37DA1" w:rsidR="009B11A5" w:rsidRPr="008F4534" w:rsidRDefault="009B11A5" w:rsidP="009B11A5">
      <w:pPr>
        <w:rPr>
          <w:lang w:val="en-US"/>
        </w:rPr>
      </w:pPr>
      <w:r w:rsidRPr="008F4534">
        <w:rPr>
          <w:lang w:val="en-US"/>
        </w:rPr>
        <w:t xml:space="preserve">All sites use </w:t>
      </w:r>
      <w:r w:rsidR="00F07B98">
        <w:rPr>
          <w:lang w:val="en-US"/>
        </w:rPr>
        <w:t xml:space="preserve">the </w:t>
      </w:r>
      <w:r w:rsidRPr="008F4534">
        <w:rPr>
          <w:lang w:val="en-US"/>
        </w:rPr>
        <w:t>exact same tubes, reagent providers, etc.</w:t>
      </w:r>
    </w:p>
    <w:p w14:paraId="2179EB81" w14:textId="77777777" w:rsidR="009B11A5" w:rsidRPr="008F4534" w:rsidRDefault="009B11A5" w:rsidP="009B11A5">
      <w:pPr>
        <w:rPr>
          <w:lang w:val="en-US"/>
        </w:rPr>
      </w:pPr>
      <w:r w:rsidRPr="008F4534">
        <w:rPr>
          <w:lang w:val="en-US"/>
        </w:rPr>
        <w:t>Conditions for (intermediate) storage are the same across sites: ideally samples should be stored in liquid nitrogen or at -80°C as sampled and should not be aliquoted on-site.</w:t>
      </w:r>
    </w:p>
    <w:p w14:paraId="5D4C8529" w14:textId="77777777" w:rsidR="009B11A5" w:rsidRDefault="009B11A5" w:rsidP="009B11A5">
      <w:pPr>
        <w:rPr>
          <w:lang w:val="en-US"/>
        </w:rPr>
      </w:pPr>
      <w:r w:rsidRPr="008F4534">
        <w:rPr>
          <w:lang w:val="en-US"/>
        </w:rPr>
        <w:t>Store as much sample as possible, as cold as possible.</w:t>
      </w:r>
    </w:p>
    <w:p w14:paraId="5B9D52CE" w14:textId="180E3416" w:rsidR="009B11A5" w:rsidRDefault="009B11A5" w:rsidP="009B11A5">
      <w:pPr>
        <w:rPr>
          <w:lang w:val="en-US"/>
        </w:rPr>
      </w:pPr>
      <w:r w:rsidRPr="008F4534">
        <w:rPr>
          <w:lang w:val="en-US"/>
        </w:rPr>
        <w:t>Omics studies should also take sample storage considerations into account, since over time new discoveries will almost certainly prompt re-analysis. In genomics studies, the most conservative storage option should be used to allow future detection of labile molecules (for instance, nucleotide modifications in DNA/RNA).</w:t>
      </w:r>
    </w:p>
    <w:p w14:paraId="645B337A" w14:textId="22FBAA8B" w:rsidR="00014819" w:rsidRPr="005405AB" w:rsidRDefault="00B71A08" w:rsidP="005405AB">
      <w:pPr>
        <w:keepNext/>
        <w:spacing w:after="120" w:line="360" w:lineRule="auto"/>
        <w:ind w:left="720" w:hanging="720"/>
        <w:outlineLvl w:val="2"/>
        <w:rPr>
          <w:rFonts w:ascii="Cambria" w:eastAsia="Times New Roman" w:hAnsi="Cambria"/>
          <w:b/>
          <w:bCs/>
          <w:sz w:val="26"/>
          <w:szCs w:val="26"/>
          <w:lang w:val="en-US" w:eastAsia="de-CH"/>
        </w:rPr>
      </w:pPr>
      <w:r w:rsidRPr="005405AB">
        <w:rPr>
          <w:rFonts w:ascii="Cambria" w:eastAsia="Times New Roman" w:hAnsi="Cambria"/>
          <w:b/>
          <w:bCs/>
          <w:sz w:val="26"/>
          <w:szCs w:val="26"/>
          <w:lang w:val="en-US" w:eastAsia="de-CH"/>
        </w:rPr>
        <w:t>Bibliography</w:t>
      </w:r>
    </w:p>
    <w:p w14:paraId="48BB3DB8" w14:textId="36D01E1D" w:rsidR="00F07B98" w:rsidRPr="00BB42EB" w:rsidRDefault="00014819" w:rsidP="00F07B98">
      <w:pPr>
        <w:widowControl w:val="0"/>
        <w:autoSpaceDE w:val="0"/>
        <w:autoSpaceDN w:val="0"/>
        <w:adjustRightInd w:val="0"/>
        <w:spacing w:line="240" w:lineRule="auto"/>
        <w:ind w:left="640" w:hanging="640"/>
        <w:rPr>
          <w:rFonts w:ascii="Calibri" w:hAnsi="Calibri" w:cs="Calibri"/>
          <w:noProof/>
          <w:szCs w:val="24"/>
          <w:lang w:val="en-US"/>
        </w:rPr>
      </w:pPr>
      <w:r>
        <w:rPr>
          <w:lang w:val="en-US"/>
        </w:rPr>
        <w:fldChar w:fldCharType="begin" w:fldLock="1"/>
      </w:r>
      <w:r>
        <w:rPr>
          <w:lang w:val="en-US"/>
        </w:rPr>
        <w:instrText xml:space="preserve">ADDIN Mendeley Bibliography CSL_BIBLIOGRAPHY </w:instrText>
      </w:r>
      <w:r>
        <w:rPr>
          <w:lang w:val="en-US"/>
        </w:rPr>
        <w:fldChar w:fldCharType="separate"/>
      </w:r>
      <w:r w:rsidR="00F07B98" w:rsidRPr="00BB42EB">
        <w:rPr>
          <w:rFonts w:ascii="Calibri" w:hAnsi="Calibri" w:cs="Calibri"/>
          <w:noProof/>
          <w:szCs w:val="24"/>
          <w:lang w:val="en-US"/>
        </w:rPr>
        <w:t xml:space="preserve">1. </w:t>
      </w:r>
      <w:r w:rsidR="00F07B98" w:rsidRPr="00BB42EB">
        <w:rPr>
          <w:rFonts w:ascii="Calibri" w:hAnsi="Calibri" w:cs="Calibri"/>
          <w:noProof/>
          <w:szCs w:val="24"/>
          <w:lang w:val="en-US"/>
        </w:rPr>
        <w:tab/>
        <w:t>Hebebrand J, Holm J-C, Woodward E, Baker JL, Blaak E, Durrer Schutz D, et al. A Proposal of the European Association for the Study of Obesity to Improve the ICD-11 Diagnostic Criteria for Obesity Based on the Three Dimensions Etiology, Degree of Adiposity and Health Risk. Obes Facts [Internet]. 2017 [cited 2018 Dec 27];10(4):284–307. Available from: http://www.ncbi.nlm.nih.gov/pubmed/28738325</w:t>
      </w:r>
    </w:p>
    <w:p w14:paraId="523B9B9A"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2. </w:t>
      </w:r>
      <w:r w:rsidRPr="00BB42EB">
        <w:rPr>
          <w:rFonts w:ascii="Calibri" w:hAnsi="Calibri" w:cs="Calibri"/>
          <w:noProof/>
          <w:szCs w:val="24"/>
          <w:lang w:val="en-US"/>
        </w:rPr>
        <w:tab/>
        <w:t>Van Reenen M, Janssen B. EQ-5D-5L User Guide Basic information on how to use the EQ-5D-5L instrument [Internet]. 2015 [cited 2018 Nov 27]. Available from: https://euroqol.org/wp-content/uploads/2016/09/EQ-5D-5L_UserGuide_2015.pdf</w:t>
      </w:r>
    </w:p>
    <w:p w14:paraId="53CD4207"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3. </w:t>
      </w:r>
      <w:r w:rsidRPr="00BB42EB">
        <w:rPr>
          <w:rFonts w:ascii="Calibri" w:hAnsi="Calibri" w:cs="Calibri"/>
          <w:noProof/>
          <w:szCs w:val="24"/>
          <w:lang w:val="en-US"/>
        </w:rPr>
        <w:tab/>
        <w:t xml:space="preserve">Mulligan AA, Luben RN, Bhaniani A, Parry-Smith DJ, O’Connor L, Khawaja AP, et al. A new tool for converting food frequency questionnaire data into nutrient and food group values: FETA </w:t>
      </w:r>
      <w:r w:rsidRPr="00BB42EB">
        <w:rPr>
          <w:rFonts w:ascii="Calibri" w:hAnsi="Calibri" w:cs="Calibri"/>
          <w:noProof/>
          <w:szCs w:val="24"/>
          <w:lang w:val="en-US"/>
        </w:rPr>
        <w:lastRenderedPageBreak/>
        <w:t>research methods and availability. BMJ Open [Internet]. 2014 Mar [cited 2019 Mar 28];4(3):e004503. Available from: http://bmjopen.bmj.com/lookup/doi/10.1136/bmjopen-2013-004503</w:t>
      </w:r>
    </w:p>
    <w:p w14:paraId="046AF3A4"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4. </w:t>
      </w:r>
      <w:r w:rsidRPr="00BB42EB">
        <w:rPr>
          <w:rFonts w:ascii="Calibri" w:hAnsi="Calibri" w:cs="Calibri"/>
          <w:noProof/>
          <w:szCs w:val="24"/>
          <w:lang w:val="en-US"/>
        </w:rPr>
        <w:tab/>
        <w:t>van Lee L, Geelen A, van Huysduynen EJCH, de Vries JHM, van’t Veer P, Feskens EJM. The Dutch Healthy Diet index (DHD-index): an instrument to measure adherence to the Dutch Guidelines for a Healthy Diet. Nutr J [Internet]. 2012 Dec 20 [cited 2019 Mar 28];11(1):49. Available from: http://nutritionj.biomedcentral.com/articles/10.1186/1475-2891-11-49</w:t>
      </w:r>
    </w:p>
    <w:p w14:paraId="1611A00A"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5. </w:t>
      </w:r>
      <w:r w:rsidRPr="00BB42EB">
        <w:rPr>
          <w:rFonts w:ascii="Calibri" w:hAnsi="Calibri" w:cs="Calibri"/>
          <w:noProof/>
          <w:szCs w:val="24"/>
          <w:lang w:val="en-US"/>
        </w:rPr>
        <w:tab/>
        <w:t>DEBQ - Dutch Eating Behavior Questionnaire [Internet]. [cited 2019 Mar 27]. Available from: https://eprovide.mapi-trust.org/instruments/dutch-eating-behavior-questionnaire</w:t>
      </w:r>
    </w:p>
    <w:p w14:paraId="3D3561B8"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6. </w:t>
      </w:r>
      <w:r w:rsidRPr="00BB42EB">
        <w:rPr>
          <w:rFonts w:ascii="Calibri" w:hAnsi="Calibri" w:cs="Calibri"/>
          <w:noProof/>
          <w:szCs w:val="24"/>
          <w:lang w:val="en-US"/>
        </w:rPr>
        <w:tab/>
        <w:t>Leenders NY, Sherman WM, Nagaraja HN, Kien CL. Evaluation of methods to assess physical activity in free-living conditions. Med Sci Sports Exerc [Internet]. 2001 Jul [cited 2019 Jan 7];33(7):1233–40. Available from: http://www.ncbi.nlm.nih.gov/pubmed/11445774</w:t>
      </w:r>
    </w:p>
    <w:p w14:paraId="43F2B1A0"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7. </w:t>
      </w:r>
      <w:r w:rsidRPr="00BB42EB">
        <w:rPr>
          <w:rFonts w:ascii="Calibri" w:hAnsi="Calibri" w:cs="Calibri"/>
          <w:noProof/>
          <w:szCs w:val="24"/>
          <w:lang w:val="en-US"/>
        </w:rPr>
        <w:tab/>
        <w:t>Kerr J, Marinac CR, Ellis K, Godbole S, Hipp A, Glanz K, et al. Comparison of Accelerometry Methods for Estimating Physical Activity. Med Sci Sports Exerc [Internet]. 2017 [cited 2019 Jan 7];49(3):617–24. Available from: http://www.ncbi.nlm.nih.gov/pubmed/27755355</w:t>
      </w:r>
    </w:p>
    <w:p w14:paraId="50952289"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8. </w:t>
      </w:r>
      <w:r w:rsidRPr="00BB42EB">
        <w:rPr>
          <w:rFonts w:ascii="Calibri" w:hAnsi="Calibri" w:cs="Calibri"/>
          <w:noProof/>
          <w:szCs w:val="24"/>
          <w:lang w:val="en-US"/>
        </w:rPr>
        <w:tab/>
        <w:t>Ainsworth BE, Haskell WL, Leon AS, Jacobs DR, Montoye HJ, Sallis JF, et al. Compendium of physical activities: classification of energy costs of human physical activities. Med Sci Sports Exerc [Internet]. 1993 Jan [cited 2019 Jan 7];25(1):71–80. Available from: http://www.ncbi.nlm.nih.gov/pubmed/8292105</w:t>
      </w:r>
    </w:p>
    <w:p w14:paraId="045AD2B1"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9. </w:t>
      </w:r>
      <w:r w:rsidRPr="00BB42EB">
        <w:rPr>
          <w:rFonts w:ascii="Calibri" w:hAnsi="Calibri" w:cs="Calibri"/>
          <w:noProof/>
          <w:szCs w:val="24"/>
          <w:lang w:val="en-US"/>
        </w:rPr>
        <w:tab/>
        <w:t>Paffenbarger RS, Blair SN, Lee IM, Hyde RT. Measurement of physical activity to assess health effects in free-living populations. Med Sci Sports Exerc [Internet]. 1993 Jan [cited 2018 Dec 29];25(1):60–70. Available from: http://www.ncbi.nlm.nih.gov/pubmed/8423758</w:t>
      </w:r>
    </w:p>
    <w:p w14:paraId="2B517983"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F07B98">
        <w:rPr>
          <w:rFonts w:ascii="Calibri" w:hAnsi="Calibri" w:cs="Calibri"/>
          <w:noProof/>
          <w:szCs w:val="24"/>
        </w:rPr>
        <w:t xml:space="preserve">10. </w:t>
      </w:r>
      <w:r w:rsidRPr="00F07B98">
        <w:rPr>
          <w:rFonts w:ascii="Calibri" w:hAnsi="Calibri" w:cs="Calibri"/>
          <w:noProof/>
          <w:szCs w:val="24"/>
        </w:rPr>
        <w:tab/>
        <w:t xml:space="preserve">Chomistek AK, Yuan C, Matthews CE, Troiano RP, Bowles HR, Rood J, et al. </w:t>
      </w:r>
      <w:r w:rsidRPr="00BB42EB">
        <w:rPr>
          <w:rFonts w:ascii="Calibri" w:hAnsi="Calibri" w:cs="Calibri"/>
          <w:noProof/>
          <w:szCs w:val="24"/>
          <w:lang w:val="en-US"/>
        </w:rPr>
        <w:t>Physical Activity Assessment with the ActiGraph GT3X and Doubly Labeled Water. Med Sci Sport Exerc [Internet]. 2017 Sep [cited 2019 Jan 7];49(9):1935–44. Available from: http://www.ncbi.nlm.nih.gov/pubmed/28419028</w:t>
      </w:r>
    </w:p>
    <w:p w14:paraId="6FAF6CAE"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11. </w:t>
      </w:r>
      <w:r w:rsidRPr="00BB42EB">
        <w:rPr>
          <w:rFonts w:ascii="Calibri" w:hAnsi="Calibri" w:cs="Calibri"/>
          <w:noProof/>
          <w:szCs w:val="24"/>
          <w:lang w:val="en-US"/>
        </w:rPr>
        <w:tab/>
        <w:t>Visser M, Koster A. Development of a questionnaire to assess sedentary time in older persons – a comparative study using accelerometry. BMC Geriatr [Internet]. 2013 Dec 30 [cited 2019 Jan 7];13(1):80. Available from: http://bmcgeriatr.biomedcentral.com/articles/10.1186/1471-2318-13-80</w:t>
      </w:r>
    </w:p>
    <w:p w14:paraId="37E9441A"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12. </w:t>
      </w:r>
      <w:r w:rsidRPr="00BB42EB">
        <w:rPr>
          <w:rFonts w:ascii="Calibri" w:hAnsi="Calibri" w:cs="Calibri"/>
          <w:noProof/>
          <w:szCs w:val="24"/>
          <w:lang w:val="en-US"/>
        </w:rPr>
        <w:tab/>
        <w:t>Guyatt GH, Sullivan MJ, Thompson PJ, Fallen EL, Pugsley SO, Taylor DW, et al. The 6-minute walk: a new measure of exercise capacity in patients with chronic heart failure. Can Med Assoc J [Internet]. 1985 Apr 15 [cited 2019 Jan 7];132(8):919–23. Available from: http://www.ncbi.nlm.nih.gov/pubmed/3978515</w:t>
      </w:r>
    </w:p>
    <w:p w14:paraId="0AE65AB6"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13. </w:t>
      </w:r>
      <w:r w:rsidRPr="00BB42EB">
        <w:rPr>
          <w:rFonts w:ascii="Calibri" w:hAnsi="Calibri" w:cs="Calibri"/>
          <w:noProof/>
          <w:szCs w:val="24"/>
          <w:lang w:val="en-US"/>
        </w:rPr>
        <w:tab/>
        <w:t>Bohannon RW, Peolsson A, Massy-Westropp N, Desrosiers J, Bear-Lehman J. Reference values for adult grip strength measured with a Jamar dynamometer: a descriptive meta-analysis. Physiotherapy [Internet]. 2006 Mar 1 [cited 2019 Jun 4];92(1):11–5. Available from: https://www.sciencedirect.com/science/article/abs/pii/S0031940605000878</w:t>
      </w:r>
    </w:p>
    <w:p w14:paraId="4232B39C"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14. </w:t>
      </w:r>
      <w:r w:rsidRPr="00BB42EB">
        <w:rPr>
          <w:rFonts w:ascii="Calibri" w:hAnsi="Calibri" w:cs="Calibri"/>
          <w:noProof/>
          <w:szCs w:val="24"/>
          <w:lang w:val="en-US"/>
        </w:rPr>
        <w:tab/>
        <w:t>Directive 2003/88/EC - working time - Safety and health at work - EU-OSHA [Internet]. [cited 2019 May 13]. Available from: https://osha.europa.eu/en/legislation/directives/directive-2003-88-ec</w:t>
      </w:r>
    </w:p>
    <w:p w14:paraId="2E214A0E"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15. </w:t>
      </w:r>
      <w:r w:rsidRPr="00BB42EB">
        <w:rPr>
          <w:rFonts w:ascii="Calibri" w:hAnsi="Calibri" w:cs="Calibri"/>
          <w:noProof/>
          <w:szCs w:val="24"/>
          <w:lang w:val="en-US"/>
        </w:rPr>
        <w:tab/>
        <w:t>The Official STOP-Bang Questionnaire Website [Internet]. [cited 2019 Mar 27]. Available from: http://www.stopbang.ca/osa/screening.php#</w:t>
      </w:r>
    </w:p>
    <w:p w14:paraId="4E22C185"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16. </w:t>
      </w:r>
      <w:r w:rsidRPr="00BB42EB">
        <w:rPr>
          <w:rFonts w:ascii="Calibri" w:hAnsi="Calibri" w:cs="Calibri"/>
          <w:noProof/>
          <w:szCs w:val="24"/>
          <w:lang w:val="en-US"/>
        </w:rPr>
        <w:tab/>
        <w:t xml:space="preserve">ATS Statement. Am J Respir Crit Care Med [Internet]. 2002 Jul 20 [cited 2019 Jan </w:t>
      </w:r>
      <w:r w:rsidRPr="00BB42EB">
        <w:rPr>
          <w:rFonts w:ascii="Calibri" w:hAnsi="Calibri" w:cs="Calibri"/>
          <w:noProof/>
          <w:szCs w:val="24"/>
          <w:lang w:val="en-US"/>
        </w:rPr>
        <w:lastRenderedPageBreak/>
        <w:t>7];166(1):111–7. Available from: http://www.atsjournals.org/doi/abs/10.1164/ajrccm.166.1.at1102</w:t>
      </w:r>
    </w:p>
    <w:p w14:paraId="2666DB44"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17. </w:t>
      </w:r>
      <w:r w:rsidRPr="00BB42EB">
        <w:rPr>
          <w:rFonts w:ascii="Calibri" w:hAnsi="Calibri" w:cs="Calibri"/>
          <w:noProof/>
          <w:szCs w:val="24"/>
          <w:lang w:val="en-US"/>
        </w:rPr>
        <w:tab/>
        <w:t>Yeboah J, Crouse JR, Hsu F-C, Burke GL, Herrington DM. Brachial Flow-Mediated Dilation Predicts Incident Cardiovascular Events in Older Adults. Circulation [Internet]. 2007 May 8 [cited 2019 Jan 14];115(18):2390–7. Available from: http://www.ncbi.nlm.nih.gov/pubmed/17452608</w:t>
      </w:r>
    </w:p>
    <w:p w14:paraId="52F69246"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18. </w:t>
      </w:r>
      <w:r w:rsidRPr="00BB42EB">
        <w:rPr>
          <w:rFonts w:ascii="Calibri" w:hAnsi="Calibri" w:cs="Calibri"/>
          <w:noProof/>
          <w:szCs w:val="24"/>
          <w:lang w:val="en-US"/>
        </w:rPr>
        <w:tab/>
        <w:t>Kullo IJ, Bielak LF, Turner ST, Sheedy PF, Peyser PA. Aortic pulse wave velocity is associated with the presence and quantity of coronary artery calcium: a community-based study. Hypertens (Dallas, Tex  1979) [Internet]. 2006 Feb [cited 2019 Jan 14];47(2):174–9. Available from: http://www.ncbi.nlm.nih.gov/pubmed/16380523</w:t>
      </w:r>
    </w:p>
    <w:p w14:paraId="585667B6"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19. </w:t>
      </w:r>
      <w:r w:rsidRPr="00BB42EB">
        <w:rPr>
          <w:rFonts w:ascii="Calibri" w:hAnsi="Calibri" w:cs="Calibri"/>
          <w:noProof/>
          <w:szCs w:val="24"/>
          <w:lang w:val="en-US"/>
        </w:rPr>
        <w:tab/>
        <w:t>Wilkinson IB, Fuchs SA, Jansen IM, Spratt JC, Murray GD, Cockcroft JR, et al. Reproducibility of pulse wave velocity and augmentation index measured by pulse wave analysis. J Hypertens [Internet]. 1998 Dec [cited 2019 Jan 14];16(12 Pt 2):2079–84. Available from: http://www.ncbi.nlm.nih.gov/pubmed/9886900</w:t>
      </w:r>
    </w:p>
    <w:p w14:paraId="05D59A9F"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20. </w:t>
      </w:r>
      <w:r w:rsidRPr="00BB42EB">
        <w:rPr>
          <w:rFonts w:ascii="Calibri" w:hAnsi="Calibri" w:cs="Calibri"/>
          <w:noProof/>
          <w:szCs w:val="24"/>
          <w:lang w:val="en-US"/>
        </w:rPr>
        <w:tab/>
        <w:t>Ankle Brachial Index Collaboration, Fowkes FGR, Murray GD, Butcher I, Heald CL, Lee RJ, et al. Ankle Brachial Index Combined With Framingham Risk Score to Predict Cardiovascular Events and Mortality. JAMA [Internet]. 2008 Jul 9 [cited 2019 Jan 14];300(2):197. Available from: http://www.ncbi.nlm.nih.gov/pubmed/18612117</w:t>
      </w:r>
    </w:p>
    <w:p w14:paraId="6E996FA5"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21. </w:t>
      </w:r>
      <w:r w:rsidRPr="00BB42EB">
        <w:rPr>
          <w:rFonts w:ascii="Calibri" w:hAnsi="Calibri" w:cs="Calibri"/>
          <w:noProof/>
          <w:szCs w:val="24"/>
          <w:lang w:val="en-US"/>
        </w:rPr>
        <w:tab/>
        <w:t>Houben AJHM, Martens RJH, Stehouwer CDA. Assessing Microvascular Function in Humans from a Chronic Disease Perspective. J Am Soc Nephrol [Internet]. 2017 Dec 1 [cited 2019 Jan 14];28(12):3461–72. Available from: http://www.ncbi.nlm.nih.gov/pubmed/28904002</w:t>
      </w:r>
    </w:p>
    <w:p w14:paraId="0F5CFB64"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22. </w:t>
      </w:r>
      <w:r w:rsidRPr="00BB42EB">
        <w:rPr>
          <w:rFonts w:ascii="Calibri" w:hAnsi="Calibri" w:cs="Calibri"/>
          <w:noProof/>
          <w:szCs w:val="24"/>
          <w:lang w:val="en-US"/>
        </w:rPr>
        <w:tab/>
        <w:t>Angulo P, Hui JM, Marchesini G, Bugianesi E, George J, Farrell GC, et al. The NAFLD fibrosis score: A noninvasive system that identifies liver fibrosis in patients with NAFLD. Hepatology [Internet]. 2007 Apr [cited 2019 Mar 27];45(4):846–54. Available from: http://doi.wiley.com/10.1002/hep.21496</w:t>
      </w:r>
    </w:p>
    <w:p w14:paraId="7D24D4E9"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23. </w:t>
      </w:r>
      <w:r w:rsidRPr="00BB42EB">
        <w:rPr>
          <w:rFonts w:ascii="Calibri" w:hAnsi="Calibri" w:cs="Calibri"/>
          <w:noProof/>
          <w:szCs w:val="24"/>
          <w:lang w:val="en-US"/>
        </w:rPr>
        <w:tab/>
        <w:t>Rodbell M. METABOLISM OF ISOLATED FAT CELLS. I. EFFECTS OF HORMONES ON GLUCOSE METABOLISM AND LIPOLYSIS. J Biol Chem [Internet]. 1964 Feb [cited 2019 Jan 20];239:375–80. Available from: http://www.ncbi.nlm.nih.gov/pubmed/14169133</w:t>
      </w:r>
    </w:p>
    <w:p w14:paraId="0908E795"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24. </w:t>
      </w:r>
      <w:r w:rsidRPr="00BB42EB">
        <w:rPr>
          <w:rFonts w:ascii="Calibri" w:hAnsi="Calibri" w:cs="Calibri"/>
          <w:noProof/>
          <w:szCs w:val="24"/>
          <w:lang w:val="en-US"/>
        </w:rPr>
        <w:tab/>
        <w:t>Hirsch J, Gallian E. Methods for the determination of adipose cell size in man and animals. J Lipid Res [Internet]. 1968 Jan [cited 2019 Jan 20];9(1):110–9. Available from: http://www.ncbi.nlm.nih.gov/pubmed/4295346</w:t>
      </w:r>
    </w:p>
    <w:p w14:paraId="35A8F933"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25. </w:t>
      </w:r>
      <w:r w:rsidRPr="00BB42EB">
        <w:rPr>
          <w:rFonts w:ascii="Calibri" w:hAnsi="Calibri" w:cs="Calibri"/>
          <w:noProof/>
          <w:szCs w:val="24"/>
          <w:lang w:val="en-US"/>
        </w:rPr>
        <w:tab/>
        <w:t>Cruz-Jentoft AJ, Bahat G, Bauer J, Boirie Y, Bruyère O, Cederholm T, et al. Sarcopenia: revised European consensus on definition and diagnosis. Age Ageing [Internet]. 2018 Jan 1 [cited 2019 Jan 13];48(1):16–31. Available from: http://www.ncbi.nlm.nih.gov/pubmed/30312372</w:t>
      </w:r>
    </w:p>
    <w:p w14:paraId="2E6CEA9A"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szCs w:val="24"/>
          <w:lang w:val="en-US"/>
        </w:rPr>
      </w:pPr>
      <w:r w:rsidRPr="00BB42EB">
        <w:rPr>
          <w:rFonts w:ascii="Calibri" w:hAnsi="Calibri" w:cs="Calibri"/>
          <w:noProof/>
          <w:szCs w:val="24"/>
          <w:lang w:val="en-US"/>
        </w:rPr>
        <w:t xml:space="preserve">26. </w:t>
      </w:r>
      <w:r w:rsidRPr="00BB42EB">
        <w:rPr>
          <w:rFonts w:ascii="Calibri" w:hAnsi="Calibri" w:cs="Calibri"/>
          <w:noProof/>
          <w:szCs w:val="24"/>
          <w:lang w:val="en-US"/>
        </w:rPr>
        <w:tab/>
        <w:t>Malmstrom TK, Morley JE. SARC-F: A Simple Questionnaire to Rapidly Diagnose Sarcopenia. J Am Med Dir Assoc [Internet]. 2013 Aug [cited 2019 Jan 13];14(8):531–2. Available from: http://www.ncbi.nlm.nih.gov/pubmed/23810110</w:t>
      </w:r>
    </w:p>
    <w:p w14:paraId="2370DDF4" w14:textId="77777777" w:rsidR="00F07B98" w:rsidRPr="00BB42EB" w:rsidRDefault="00F07B98" w:rsidP="00F07B98">
      <w:pPr>
        <w:widowControl w:val="0"/>
        <w:autoSpaceDE w:val="0"/>
        <w:autoSpaceDN w:val="0"/>
        <w:adjustRightInd w:val="0"/>
        <w:spacing w:line="240" w:lineRule="auto"/>
        <w:ind w:left="640" w:hanging="640"/>
        <w:rPr>
          <w:rFonts w:ascii="Calibri" w:hAnsi="Calibri" w:cs="Calibri"/>
          <w:noProof/>
          <w:lang w:val="en-US"/>
        </w:rPr>
      </w:pPr>
      <w:r w:rsidRPr="00BB42EB">
        <w:rPr>
          <w:rFonts w:ascii="Calibri" w:hAnsi="Calibri" w:cs="Calibri"/>
          <w:noProof/>
          <w:szCs w:val="24"/>
          <w:lang w:val="en-US"/>
        </w:rPr>
        <w:t xml:space="preserve">27. </w:t>
      </w:r>
      <w:r w:rsidRPr="00BB42EB">
        <w:rPr>
          <w:rFonts w:ascii="Calibri" w:hAnsi="Calibri" w:cs="Calibri"/>
          <w:noProof/>
          <w:szCs w:val="24"/>
          <w:lang w:val="en-US"/>
        </w:rPr>
        <w:tab/>
        <w:t>Karczewski KJ, Snyder MP. Integrative omics for health and disease. Nat Rev Genet [Internet]. 2018 Feb 26 [cited 2019 Jan 17];19(5):299–310. Available from: http://www.nature.com/doifinder/10.1038/nrg.2018.4</w:t>
      </w:r>
    </w:p>
    <w:p w14:paraId="2BCA6D1D" w14:textId="31E42526" w:rsidR="00014819" w:rsidRPr="00014819" w:rsidRDefault="00014819" w:rsidP="00014819">
      <w:pPr>
        <w:rPr>
          <w:lang w:val="en-US"/>
        </w:rPr>
      </w:pPr>
      <w:r>
        <w:rPr>
          <w:lang w:val="en-US"/>
        </w:rPr>
        <w:fldChar w:fldCharType="end"/>
      </w:r>
    </w:p>
    <w:bookmarkEnd w:id="0"/>
    <w:p w14:paraId="04CE46BE" w14:textId="551C9DD6" w:rsidR="00B71A08" w:rsidRPr="00B71A08" w:rsidRDefault="00B71A08" w:rsidP="00B71A08">
      <w:pPr>
        <w:rPr>
          <w:lang w:val="en-US"/>
        </w:rPr>
      </w:pPr>
    </w:p>
    <w:sectPr w:rsidR="00B71A08" w:rsidRPr="00B71A0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E8BAB" w16cid:durableId="20ACFF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172AF"/>
    <w:multiLevelType w:val="hybridMultilevel"/>
    <w:tmpl w:val="0E22A61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EF96C6D"/>
    <w:multiLevelType w:val="hybridMultilevel"/>
    <w:tmpl w:val="D50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90AEE"/>
    <w:multiLevelType w:val="hybridMultilevel"/>
    <w:tmpl w:val="14DEE32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F4103B1"/>
    <w:multiLevelType w:val="hybridMultilevel"/>
    <w:tmpl w:val="BA700C1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B5862CF"/>
    <w:multiLevelType w:val="hybridMultilevel"/>
    <w:tmpl w:val="D946E8A2"/>
    <w:lvl w:ilvl="0" w:tplc="10000001">
      <w:start w:val="1"/>
      <w:numFmt w:val="bullet"/>
      <w:lvlText w:val=""/>
      <w:lvlJc w:val="left"/>
      <w:pPr>
        <w:ind w:left="1440" w:hanging="360"/>
      </w:pPr>
      <w:rPr>
        <w:rFonts w:ascii="Symbol" w:hAnsi="Symbol" w:hint="default"/>
      </w:rPr>
    </w:lvl>
    <w:lvl w:ilvl="1" w:tplc="10000003">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5" w15:restartNumberingAfterBreak="0">
    <w:nsid w:val="464B7623"/>
    <w:multiLevelType w:val="hybridMultilevel"/>
    <w:tmpl w:val="C2B0517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51E32D5B"/>
    <w:multiLevelType w:val="hybridMultilevel"/>
    <w:tmpl w:val="8B4E9F6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D793495"/>
    <w:multiLevelType w:val="hybridMultilevel"/>
    <w:tmpl w:val="DAA68D0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6F1B3A2B"/>
    <w:multiLevelType w:val="hybridMultilevel"/>
    <w:tmpl w:val="9F0074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CFE005C"/>
    <w:multiLevelType w:val="hybridMultilevel"/>
    <w:tmpl w:val="F44CB6C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9"/>
  </w:num>
  <w:num w:numId="6">
    <w:abstractNumId w:val="6"/>
  </w:num>
  <w:num w:numId="7">
    <w:abstractNumId w:val="4"/>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A5"/>
    <w:rsid w:val="00014819"/>
    <w:rsid w:val="00074443"/>
    <w:rsid w:val="00097E8C"/>
    <w:rsid w:val="00190D22"/>
    <w:rsid w:val="00262A8A"/>
    <w:rsid w:val="003458F3"/>
    <w:rsid w:val="00513571"/>
    <w:rsid w:val="005405AB"/>
    <w:rsid w:val="0054378B"/>
    <w:rsid w:val="0068762B"/>
    <w:rsid w:val="00761FA8"/>
    <w:rsid w:val="00870F18"/>
    <w:rsid w:val="008B3F8F"/>
    <w:rsid w:val="00945725"/>
    <w:rsid w:val="009B11A5"/>
    <w:rsid w:val="009E31AF"/>
    <w:rsid w:val="009E6E1D"/>
    <w:rsid w:val="00AC50A8"/>
    <w:rsid w:val="00AE774C"/>
    <w:rsid w:val="00B561F6"/>
    <w:rsid w:val="00B71A08"/>
    <w:rsid w:val="00BB42EB"/>
    <w:rsid w:val="00BF5761"/>
    <w:rsid w:val="00C309AC"/>
    <w:rsid w:val="00C43D06"/>
    <w:rsid w:val="00EE6D8B"/>
    <w:rsid w:val="00F07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57C6"/>
  <w15:chartTrackingRefBased/>
  <w15:docId w15:val="{6B36D923-28E2-47DF-B5B1-AE2B0AA8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1A5"/>
  </w:style>
  <w:style w:type="paragraph" w:styleId="Titre1">
    <w:name w:val="heading 1"/>
    <w:basedOn w:val="Normal"/>
    <w:next w:val="Normal"/>
    <w:link w:val="Titre1Car"/>
    <w:uiPriority w:val="9"/>
    <w:qFormat/>
    <w:rsid w:val="009B1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B11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11A5"/>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9B11A5"/>
    <w:rPr>
      <w:rFonts w:asciiTheme="majorHAnsi" w:eastAsiaTheme="majorEastAsia" w:hAnsiTheme="majorHAnsi" w:cstheme="majorBidi"/>
      <w:color w:val="2F5496" w:themeColor="accent1" w:themeShade="BF"/>
      <w:sz w:val="26"/>
      <w:szCs w:val="26"/>
      <w:lang w:val="fr-FR"/>
    </w:rPr>
  </w:style>
  <w:style w:type="paragraph" w:styleId="Paragraphedeliste">
    <w:name w:val="List Paragraph"/>
    <w:basedOn w:val="Normal"/>
    <w:uiPriority w:val="34"/>
    <w:qFormat/>
    <w:rsid w:val="009B11A5"/>
    <w:pPr>
      <w:ind w:left="720"/>
      <w:contextualSpacing/>
    </w:pPr>
  </w:style>
  <w:style w:type="character" w:styleId="Marquedecommentaire">
    <w:name w:val="annotation reference"/>
    <w:basedOn w:val="Policepardfaut"/>
    <w:uiPriority w:val="99"/>
    <w:semiHidden/>
    <w:unhideWhenUsed/>
    <w:rsid w:val="009B11A5"/>
    <w:rPr>
      <w:sz w:val="16"/>
      <w:szCs w:val="16"/>
    </w:rPr>
  </w:style>
  <w:style w:type="paragraph" w:styleId="Commentaire">
    <w:name w:val="annotation text"/>
    <w:basedOn w:val="Normal"/>
    <w:link w:val="CommentaireCar"/>
    <w:uiPriority w:val="99"/>
    <w:unhideWhenUsed/>
    <w:rsid w:val="009B11A5"/>
    <w:pPr>
      <w:spacing w:line="240" w:lineRule="auto"/>
    </w:pPr>
    <w:rPr>
      <w:sz w:val="20"/>
      <w:szCs w:val="20"/>
    </w:rPr>
  </w:style>
  <w:style w:type="character" w:customStyle="1" w:styleId="CommentaireCar">
    <w:name w:val="Commentaire Car"/>
    <w:basedOn w:val="Policepardfaut"/>
    <w:link w:val="Commentaire"/>
    <w:uiPriority w:val="99"/>
    <w:rsid w:val="009B11A5"/>
    <w:rPr>
      <w:sz w:val="20"/>
      <w:szCs w:val="20"/>
      <w:lang w:val="fr-FR"/>
    </w:rPr>
  </w:style>
  <w:style w:type="character" w:styleId="Lienhypertexte">
    <w:name w:val="Hyperlink"/>
    <w:basedOn w:val="Policepardfaut"/>
    <w:uiPriority w:val="99"/>
    <w:unhideWhenUsed/>
    <w:rsid w:val="009B11A5"/>
    <w:rPr>
      <w:color w:val="0563C1" w:themeColor="hyperlink"/>
      <w:u w:val="single"/>
    </w:rPr>
  </w:style>
  <w:style w:type="table" w:styleId="Grilledutableau">
    <w:name w:val="Table Grid"/>
    <w:basedOn w:val="TableauNormal"/>
    <w:uiPriority w:val="39"/>
    <w:rsid w:val="009B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11A5"/>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p">
    <w:name w:val="p"/>
    <w:basedOn w:val="Normal"/>
    <w:uiPriority w:val="99"/>
    <w:rsid w:val="009B11A5"/>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Textedebulles">
    <w:name w:val="Balloon Text"/>
    <w:basedOn w:val="Normal"/>
    <w:link w:val="TextedebullesCar"/>
    <w:uiPriority w:val="99"/>
    <w:semiHidden/>
    <w:unhideWhenUsed/>
    <w:rsid w:val="009B11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11A5"/>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BA56-5E35-4176-A4F2-C56756CD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14720</Words>
  <Characters>80963</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Campbell</dc:creator>
  <cp:keywords/>
  <dc:description/>
  <cp:lastModifiedBy>ALLIGIER, Maud</cp:lastModifiedBy>
  <cp:revision>5</cp:revision>
  <dcterms:created xsi:type="dcterms:W3CDTF">2019-11-25T06:45:00Z</dcterms:created>
  <dcterms:modified xsi:type="dcterms:W3CDTF">2019-12-03T13:48:00Z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4531313a-95eb-3f60-a28f-4a40c2e5a516</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