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E9A2B" w14:textId="77777777" w:rsidR="00B51DAE" w:rsidRPr="00B51DAE" w:rsidRDefault="00B51DAE" w:rsidP="00B51DAE">
      <w:pPr>
        <w:spacing w:line="480" w:lineRule="auto"/>
        <w:jc w:val="center"/>
        <w:rPr>
          <w:rFonts w:ascii="Cambria" w:eastAsia="Arial Unicode MS" w:hAnsi="Cambria" w:cs="Arial"/>
          <w:b/>
          <w:i/>
          <w:iCs/>
          <w:sz w:val="28"/>
          <w:szCs w:val="28"/>
          <w:lang w:val="en-GB"/>
        </w:rPr>
      </w:pPr>
      <w:r w:rsidRPr="00B51DAE">
        <w:rPr>
          <w:rFonts w:ascii="Cambria" w:eastAsia="Arial Unicode MS" w:hAnsi="Cambria" w:cs="Arial"/>
          <w:b/>
          <w:i/>
          <w:iCs/>
          <w:sz w:val="28"/>
          <w:szCs w:val="28"/>
          <w:lang w:val="en-GB"/>
        </w:rPr>
        <w:t>Cardiac-specific caveolin-3 overexpression prevents post-myocardial infarction ventricular arrhythmias by inhibiting ryanodine receptor-2 hyperphosphorylation</w:t>
      </w:r>
    </w:p>
    <w:p w14:paraId="659D29D4" w14:textId="77777777" w:rsidR="00B51DAE" w:rsidRPr="00B51DAE" w:rsidRDefault="00B51DAE" w:rsidP="00B51DAE">
      <w:pPr>
        <w:spacing w:line="480" w:lineRule="auto"/>
        <w:jc w:val="center"/>
        <w:rPr>
          <w:rFonts w:ascii="Arial" w:eastAsia="Arial Unicode MS" w:hAnsi="Arial" w:cs="Arial"/>
          <w:b/>
          <w:sz w:val="24"/>
          <w:szCs w:val="24"/>
          <w:lang w:val="en-GB"/>
        </w:rPr>
      </w:pPr>
    </w:p>
    <w:p w14:paraId="595A8B6C" w14:textId="77777777" w:rsidR="00B51DAE" w:rsidRPr="00B51DAE" w:rsidRDefault="00B51DAE" w:rsidP="00B51DAE">
      <w:pPr>
        <w:spacing w:line="480" w:lineRule="auto"/>
        <w:jc w:val="center"/>
        <w:rPr>
          <w:rFonts w:ascii="Calibri" w:eastAsia="Arial Unicode MS" w:hAnsi="Calibri" w:cs="Calibri"/>
          <w:sz w:val="22"/>
          <w:lang w:val="en-GB"/>
        </w:rPr>
      </w:pPr>
      <w:proofErr w:type="spellStart"/>
      <w:r w:rsidRPr="00B51DAE">
        <w:rPr>
          <w:rFonts w:ascii="Calibri" w:eastAsia="Arial Unicode MS" w:hAnsi="Calibri" w:cs="Calibri"/>
          <w:sz w:val="22"/>
          <w:lang w:val="en-GB"/>
        </w:rPr>
        <w:t>Zhihao</w:t>
      </w:r>
      <w:proofErr w:type="spellEnd"/>
      <w:r w:rsidRPr="00B51DAE">
        <w:rPr>
          <w:rFonts w:ascii="Calibri" w:eastAsia="Arial Unicode MS" w:hAnsi="Calibri" w:cs="Calibri"/>
          <w:sz w:val="22"/>
          <w:lang w:val="en-GB"/>
        </w:rPr>
        <w:t xml:space="preserve"> Zhang, Qin Fang, Tingyi Du, </w:t>
      </w:r>
      <w:proofErr w:type="spellStart"/>
      <w:r w:rsidRPr="00B51DAE">
        <w:rPr>
          <w:rFonts w:ascii="Calibri" w:eastAsia="Arial Unicode MS" w:hAnsi="Calibri" w:cs="Calibri"/>
          <w:sz w:val="22"/>
          <w:lang w:val="en-GB"/>
        </w:rPr>
        <w:t>Guangzhi</w:t>
      </w:r>
      <w:proofErr w:type="spellEnd"/>
      <w:r w:rsidRPr="00B51DAE">
        <w:rPr>
          <w:rFonts w:ascii="Calibri" w:eastAsia="Arial Unicode MS" w:hAnsi="Calibri" w:cs="Calibri"/>
          <w:sz w:val="22"/>
          <w:lang w:val="en-GB"/>
        </w:rPr>
        <w:t xml:space="preserve"> Chen*, Yan Wang*, and Dao Wen Wang</w:t>
      </w:r>
    </w:p>
    <w:p w14:paraId="01A38D2C" w14:textId="77777777" w:rsidR="00B51DAE" w:rsidRPr="00B51DAE" w:rsidRDefault="00B51DAE" w:rsidP="00B51DAE">
      <w:pPr>
        <w:spacing w:line="480" w:lineRule="auto"/>
        <w:rPr>
          <w:rFonts w:ascii="Arial" w:eastAsia="Arial Unicode MS" w:hAnsi="Arial" w:cs="Arial"/>
          <w:sz w:val="24"/>
          <w:szCs w:val="24"/>
          <w:lang w:val="en-GB"/>
        </w:rPr>
      </w:pPr>
    </w:p>
    <w:p w14:paraId="7A6B89C7" w14:textId="0AD5103F"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Division of Cardiology, Departments of Internal Medicine and Hubei Key Laboratory of Genetics and Molecular Mechanisms of Cardiological Disorders, Tongji Hospital, Tongji Medical College, Huazhong University of Science and Technology, Wuhan</w:t>
      </w:r>
      <w:r w:rsidR="0088041C">
        <w:rPr>
          <w:rFonts w:ascii="Calibri" w:eastAsia="Arial Unicode MS" w:hAnsi="Calibri" w:cs="Calibri" w:hint="eastAsia"/>
          <w:sz w:val="22"/>
          <w:lang w:val="en-GB"/>
        </w:rPr>
        <w:t>,</w:t>
      </w:r>
      <w:r w:rsidRPr="00B51DAE">
        <w:rPr>
          <w:rFonts w:ascii="Calibri" w:eastAsia="Arial Unicode MS" w:hAnsi="Calibri" w:cs="Calibri"/>
          <w:sz w:val="22"/>
          <w:lang w:val="en-GB"/>
        </w:rPr>
        <w:t xml:space="preserve"> China</w:t>
      </w:r>
      <w:r w:rsidR="0088041C">
        <w:rPr>
          <w:rFonts w:ascii="Calibri" w:eastAsia="Arial Unicode MS" w:hAnsi="Calibri" w:cs="Calibri"/>
          <w:sz w:val="22"/>
          <w:lang w:val="en-GB"/>
        </w:rPr>
        <w:t>.</w:t>
      </w:r>
      <w:bookmarkStart w:id="0" w:name="_GoBack"/>
      <w:bookmarkEnd w:id="0"/>
    </w:p>
    <w:p w14:paraId="0A918B5D" w14:textId="77777777" w:rsidR="00B51DAE" w:rsidRPr="00B51DAE" w:rsidRDefault="00B51DAE" w:rsidP="00B51DAE">
      <w:pPr>
        <w:spacing w:line="480" w:lineRule="auto"/>
        <w:rPr>
          <w:rFonts w:ascii="Calibri" w:eastAsia="Arial Unicode MS" w:hAnsi="Calibri" w:cs="Calibri"/>
          <w:sz w:val="22"/>
          <w:lang w:val="en-GB"/>
        </w:rPr>
      </w:pPr>
    </w:p>
    <w:p w14:paraId="0C9C1560" w14:textId="77777777"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Short Title: Caveolin-3 and ventricular arrhythmias</w:t>
      </w:r>
    </w:p>
    <w:p w14:paraId="5AECCC41" w14:textId="77777777" w:rsidR="00B51DAE" w:rsidRPr="00B51DAE" w:rsidRDefault="00B51DAE" w:rsidP="00B51DAE">
      <w:pPr>
        <w:spacing w:line="480" w:lineRule="auto"/>
        <w:rPr>
          <w:rFonts w:ascii="Calibri" w:eastAsia="Arial Unicode MS" w:hAnsi="Calibri" w:cs="Calibri"/>
          <w:sz w:val="22"/>
          <w:lang w:val="en-GB"/>
        </w:rPr>
      </w:pPr>
    </w:p>
    <w:p w14:paraId="4964C549" w14:textId="77777777"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 xml:space="preserve">*Corresponding authors: </w:t>
      </w:r>
    </w:p>
    <w:p w14:paraId="39F15C09" w14:textId="77777777" w:rsidR="00B51DAE" w:rsidRPr="00B51DAE" w:rsidRDefault="00B51DAE" w:rsidP="00B51DAE">
      <w:pPr>
        <w:spacing w:line="480" w:lineRule="auto"/>
        <w:outlineLvl w:val="0"/>
        <w:rPr>
          <w:rFonts w:ascii="Calibri" w:eastAsia="Arial Unicode MS" w:hAnsi="Calibri" w:cs="Calibri"/>
          <w:sz w:val="22"/>
          <w:lang w:val="en-GB"/>
        </w:rPr>
      </w:pPr>
      <w:proofErr w:type="spellStart"/>
      <w:r w:rsidRPr="00B51DAE">
        <w:rPr>
          <w:rFonts w:ascii="Calibri" w:eastAsia="Arial Unicode MS" w:hAnsi="Calibri" w:cs="Calibri"/>
          <w:sz w:val="22"/>
          <w:lang w:val="en-GB"/>
        </w:rPr>
        <w:t>Guangzhi</w:t>
      </w:r>
      <w:proofErr w:type="spellEnd"/>
      <w:r w:rsidRPr="00B51DAE">
        <w:rPr>
          <w:rFonts w:ascii="Calibri" w:eastAsia="Arial Unicode MS" w:hAnsi="Calibri" w:cs="Calibri"/>
          <w:sz w:val="22"/>
          <w:lang w:val="en-GB"/>
        </w:rPr>
        <w:t xml:space="preserve"> Chen and Yan Wang</w:t>
      </w:r>
    </w:p>
    <w:p w14:paraId="7B6488ED" w14:textId="77777777"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 xml:space="preserve">Division of Cardiology, Department of Internal Medicine  </w:t>
      </w:r>
    </w:p>
    <w:p w14:paraId="5AE5ED1F" w14:textId="77777777" w:rsidR="00B51DAE" w:rsidRPr="00B51DAE" w:rsidRDefault="00B51DAE" w:rsidP="00B51DAE">
      <w:pPr>
        <w:spacing w:line="480" w:lineRule="auto"/>
        <w:outlineLvl w:val="0"/>
        <w:rPr>
          <w:rFonts w:ascii="Calibri" w:eastAsia="Arial Unicode MS" w:hAnsi="Calibri" w:cs="Calibri"/>
          <w:sz w:val="22"/>
          <w:lang w:val="en-GB"/>
        </w:rPr>
      </w:pPr>
      <w:r w:rsidRPr="00B51DAE">
        <w:rPr>
          <w:rFonts w:ascii="Calibri" w:eastAsia="Arial Unicode MS" w:hAnsi="Calibri" w:cs="Calibri"/>
          <w:sz w:val="22"/>
          <w:lang w:val="en-GB"/>
        </w:rPr>
        <w:t xml:space="preserve">Tongji Hospital, Tongji Medical College </w:t>
      </w:r>
    </w:p>
    <w:p w14:paraId="41C6B65F" w14:textId="77777777" w:rsidR="00B51DAE" w:rsidRPr="00B51DAE" w:rsidRDefault="00B51DAE" w:rsidP="00B51DAE">
      <w:pPr>
        <w:spacing w:line="480" w:lineRule="auto"/>
        <w:outlineLvl w:val="0"/>
        <w:rPr>
          <w:rFonts w:ascii="Calibri" w:eastAsia="Arial Unicode MS" w:hAnsi="Calibri" w:cs="Calibri"/>
          <w:sz w:val="22"/>
          <w:lang w:val="en-GB"/>
        </w:rPr>
      </w:pPr>
      <w:r w:rsidRPr="00B51DAE">
        <w:rPr>
          <w:rFonts w:ascii="Calibri" w:eastAsia="Arial Unicode MS" w:hAnsi="Calibri" w:cs="Calibri"/>
          <w:sz w:val="22"/>
          <w:lang w:val="en-GB"/>
        </w:rPr>
        <w:t xml:space="preserve">Huazhong University of Science and Technology </w:t>
      </w:r>
    </w:p>
    <w:p w14:paraId="7F4F3ADE" w14:textId="16BC48B2"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1095</w:t>
      </w:r>
      <w:r w:rsidR="00C50BE7">
        <w:rPr>
          <w:rFonts w:ascii="Calibri" w:eastAsia="Arial Unicode MS" w:hAnsi="Calibri" w:cs="Calibri"/>
          <w:sz w:val="22"/>
          <w:lang w:val="en-GB"/>
        </w:rPr>
        <w:t>#</w:t>
      </w:r>
      <w:r w:rsidRPr="00B51DAE">
        <w:rPr>
          <w:rFonts w:ascii="Calibri" w:eastAsia="Arial Unicode MS" w:hAnsi="Calibri" w:cs="Calibri"/>
          <w:sz w:val="22"/>
          <w:lang w:val="en-GB"/>
        </w:rPr>
        <w:t xml:space="preserve"> </w:t>
      </w:r>
      <w:proofErr w:type="spellStart"/>
      <w:r w:rsidRPr="00B51DAE">
        <w:rPr>
          <w:rFonts w:ascii="Calibri" w:eastAsia="Arial Unicode MS" w:hAnsi="Calibri" w:cs="Calibri"/>
          <w:sz w:val="22"/>
          <w:lang w:val="en-GB"/>
        </w:rPr>
        <w:t>Jiefang</w:t>
      </w:r>
      <w:proofErr w:type="spellEnd"/>
      <w:r w:rsidRPr="00B51DAE">
        <w:rPr>
          <w:rFonts w:ascii="Calibri" w:eastAsia="Arial Unicode MS" w:hAnsi="Calibri" w:cs="Calibri"/>
          <w:sz w:val="22"/>
          <w:lang w:val="en-GB"/>
        </w:rPr>
        <w:t xml:space="preserve"> Ave. Wuhan 430030, China </w:t>
      </w:r>
    </w:p>
    <w:p w14:paraId="1D92471E" w14:textId="77777777" w:rsidR="00B51DAE" w:rsidRPr="00B51DAE" w:rsidRDefault="00B51DAE" w:rsidP="00B51DAE">
      <w:pPr>
        <w:spacing w:line="480" w:lineRule="auto"/>
        <w:rPr>
          <w:rFonts w:ascii="Calibri" w:eastAsia="Arial Unicode MS" w:hAnsi="Calibri" w:cs="Calibri"/>
          <w:sz w:val="22"/>
          <w:lang w:val="en-GB"/>
        </w:rPr>
      </w:pPr>
      <w:r w:rsidRPr="00B51DAE">
        <w:rPr>
          <w:rFonts w:ascii="Calibri" w:eastAsia="Arial Unicode MS" w:hAnsi="Calibri" w:cs="Calibri"/>
          <w:sz w:val="22"/>
          <w:lang w:val="en-GB"/>
        </w:rPr>
        <w:t xml:space="preserve">Tel. &amp; Fax: 86-27-8366-3280  </w:t>
      </w:r>
    </w:p>
    <w:p w14:paraId="0FBF161B" w14:textId="77777777" w:rsidR="00B51DAE" w:rsidRPr="00B51DAE" w:rsidRDefault="00B51DAE" w:rsidP="00B51DAE">
      <w:pPr>
        <w:spacing w:line="480" w:lineRule="auto"/>
        <w:outlineLvl w:val="0"/>
        <w:rPr>
          <w:rFonts w:ascii="Calibri" w:hAnsi="Calibri" w:cs="Calibri"/>
          <w:sz w:val="22"/>
          <w:lang w:val="en-GB"/>
        </w:rPr>
      </w:pPr>
      <w:r w:rsidRPr="00B51DAE">
        <w:rPr>
          <w:rFonts w:ascii="Calibri" w:eastAsia="Arial Unicode MS" w:hAnsi="Calibri" w:cs="Calibri"/>
          <w:sz w:val="22"/>
          <w:lang w:val="en-GB"/>
        </w:rPr>
        <w:t xml:space="preserve">Email: </w:t>
      </w:r>
      <w:hyperlink r:id="rId7" w:history="1">
        <w:r w:rsidRPr="00B51DAE">
          <w:rPr>
            <w:rFonts w:ascii="Calibri" w:eastAsia="Arial Unicode MS" w:hAnsi="Calibri" w:cs="Calibri"/>
            <w:color w:val="0563C1" w:themeColor="hyperlink"/>
            <w:sz w:val="22"/>
            <w:u w:val="single"/>
            <w:lang w:val="en-GB"/>
          </w:rPr>
          <w:t>chengz2003@163.com</w:t>
        </w:r>
      </w:hyperlink>
      <w:r w:rsidRPr="00B51DAE">
        <w:rPr>
          <w:rFonts w:ascii="Calibri" w:eastAsia="Arial Unicode MS" w:hAnsi="Calibri" w:cs="Calibri"/>
          <w:sz w:val="22"/>
          <w:lang w:val="en-GB"/>
        </w:rPr>
        <w:t xml:space="preserve">; </w:t>
      </w:r>
      <w:hyperlink r:id="rId8" w:history="1">
        <w:r w:rsidRPr="00B51DAE">
          <w:rPr>
            <w:rFonts w:ascii="Calibri" w:eastAsia="Arial Unicode MS" w:hAnsi="Calibri" w:cs="Calibri"/>
            <w:color w:val="0563C1" w:themeColor="hyperlink"/>
            <w:sz w:val="22"/>
            <w:u w:val="single"/>
            <w:lang w:val="en-GB"/>
          </w:rPr>
          <w:t>newswangyan@tjh.tjmu.edu.cn</w:t>
        </w:r>
      </w:hyperlink>
    </w:p>
    <w:p w14:paraId="30BFB2DF" w14:textId="77777777" w:rsidR="00B51DAE" w:rsidRPr="00B51DAE" w:rsidRDefault="00B51DAE" w:rsidP="00B51DAE">
      <w:pPr>
        <w:spacing w:line="480" w:lineRule="auto"/>
        <w:outlineLvl w:val="0"/>
        <w:rPr>
          <w:rFonts w:ascii="Calibri" w:eastAsia="Arial Unicode MS" w:hAnsi="Calibri" w:cs="Calibri"/>
          <w:sz w:val="22"/>
          <w:lang w:val="en-GB"/>
        </w:rPr>
      </w:pPr>
      <w:r w:rsidRPr="00B51DAE">
        <w:rPr>
          <w:rFonts w:ascii="Calibri" w:eastAsia="Arial Unicode MS" w:hAnsi="Calibri" w:cs="Calibri"/>
          <w:b/>
          <w:sz w:val="22"/>
          <w:lang w:val="en-GB"/>
        </w:rPr>
        <w:t xml:space="preserve">Keywords: </w:t>
      </w:r>
      <w:bookmarkStart w:id="1" w:name="OLE_LINK38"/>
      <w:r w:rsidRPr="00B51DAE">
        <w:rPr>
          <w:rFonts w:ascii="Calibri" w:eastAsia="Arial Unicode MS" w:hAnsi="Calibri" w:cs="Calibri"/>
          <w:sz w:val="22"/>
          <w:lang w:val="en-GB"/>
        </w:rPr>
        <w:t>myocardial infarction, ventricular</w:t>
      </w:r>
      <w:r w:rsidRPr="00B51DAE">
        <w:rPr>
          <w:rFonts w:ascii="Calibri" w:eastAsia="Arial Unicode MS" w:hAnsi="Calibri" w:cs="Calibri"/>
          <w:b/>
          <w:sz w:val="22"/>
          <w:lang w:val="en-GB"/>
        </w:rPr>
        <w:t xml:space="preserve"> </w:t>
      </w:r>
      <w:r w:rsidRPr="00B51DAE">
        <w:rPr>
          <w:rFonts w:ascii="Calibri" w:eastAsia="Arial Unicode MS" w:hAnsi="Calibri" w:cs="Calibri"/>
          <w:sz w:val="22"/>
          <w:lang w:val="en-GB"/>
        </w:rPr>
        <w:t>arrhythmias, caveolin-3, Pkp2, RyR2</w:t>
      </w:r>
      <w:bookmarkEnd w:id="1"/>
    </w:p>
    <w:p w14:paraId="7BDC031E" w14:textId="10C7DB58" w:rsidR="00B51DAE" w:rsidRDefault="00B51DAE" w:rsidP="00DB497F">
      <w:pPr>
        <w:spacing w:line="480" w:lineRule="auto"/>
        <w:ind w:left="720" w:hanging="720"/>
        <w:outlineLvl w:val="0"/>
        <w:rPr>
          <w:lang w:val="en-GB"/>
        </w:rPr>
      </w:pPr>
    </w:p>
    <w:p w14:paraId="5E368540" w14:textId="13DAA55A" w:rsidR="00B51DAE" w:rsidRPr="00B51DAE" w:rsidRDefault="00B51DAE" w:rsidP="00B51DAE">
      <w:pPr>
        <w:rPr>
          <w:rFonts w:ascii="Calibri" w:hAnsi="Calibri" w:cs="Calibri"/>
          <w:b/>
          <w:sz w:val="22"/>
        </w:rPr>
      </w:pPr>
      <w:r w:rsidRPr="00B51DAE">
        <w:rPr>
          <w:rFonts w:ascii="Calibri" w:hAnsi="Calibri" w:cs="Calibri"/>
          <w:b/>
          <w:sz w:val="22"/>
        </w:rPr>
        <w:lastRenderedPageBreak/>
        <w:t xml:space="preserve">Supplemental </w:t>
      </w:r>
      <w:r>
        <w:rPr>
          <w:rFonts w:ascii="Calibri" w:hAnsi="Calibri" w:cs="Calibri"/>
          <w:b/>
          <w:sz w:val="22"/>
        </w:rPr>
        <w:t>methods:</w:t>
      </w:r>
    </w:p>
    <w:p w14:paraId="49C320BB" w14:textId="0D934C08" w:rsidR="00DB497F" w:rsidRPr="00B51DAE" w:rsidRDefault="00DB497F" w:rsidP="00B51DAE">
      <w:pPr>
        <w:spacing w:line="480" w:lineRule="auto"/>
        <w:outlineLvl w:val="0"/>
        <w:rPr>
          <w:rFonts w:ascii="Calibri" w:eastAsia="Arial Unicode MS" w:hAnsi="Calibri" w:cs="Calibri"/>
          <w:b/>
          <w:sz w:val="22"/>
          <w:lang w:val="en-GB"/>
        </w:rPr>
      </w:pPr>
      <w:r w:rsidRPr="00B51DAE">
        <w:rPr>
          <w:rFonts w:ascii="Calibri" w:eastAsia="Arial Unicode MS" w:hAnsi="Calibri" w:cs="Calibri"/>
          <w:b/>
          <w:sz w:val="22"/>
          <w:lang w:val="en-GB"/>
        </w:rPr>
        <w:t>Evaluation of cardiac function</w:t>
      </w:r>
    </w:p>
    <w:p w14:paraId="5DCB901B" w14:textId="4851B424" w:rsidR="00DB497F" w:rsidRPr="008F4041" w:rsidRDefault="00DB497F" w:rsidP="00DB497F">
      <w:pPr>
        <w:spacing w:line="480" w:lineRule="auto"/>
        <w:rPr>
          <w:rFonts w:ascii="Calibri" w:eastAsia="Arial Unicode MS" w:hAnsi="Calibri" w:cs="Calibri"/>
          <w:sz w:val="22"/>
          <w:lang w:val="en-GB"/>
        </w:rPr>
      </w:pPr>
      <w:r w:rsidRPr="008F4041">
        <w:rPr>
          <w:rFonts w:ascii="Calibri" w:eastAsia="Arial Unicode MS" w:hAnsi="Calibri" w:cs="Calibri"/>
          <w:sz w:val="22"/>
          <w:lang w:val="en-GB"/>
        </w:rPr>
        <w:t xml:space="preserve">A high-resolution ultrasound with a 30-MHz scan head was used to measure ventricular dimensions (Vevo1100; </w:t>
      </w:r>
      <w:proofErr w:type="spellStart"/>
      <w:r w:rsidRPr="008F4041">
        <w:rPr>
          <w:rFonts w:ascii="Calibri" w:eastAsia="Arial Unicode MS" w:hAnsi="Calibri" w:cs="Calibri"/>
          <w:sz w:val="22"/>
          <w:lang w:val="en-GB"/>
        </w:rPr>
        <w:t>VisualSonics</w:t>
      </w:r>
      <w:proofErr w:type="spellEnd"/>
      <w:r w:rsidRPr="008F4041">
        <w:rPr>
          <w:rFonts w:ascii="Calibri" w:eastAsia="Arial Unicode MS" w:hAnsi="Calibri" w:cs="Calibri"/>
          <w:sz w:val="22"/>
          <w:lang w:val="en-GB"/>
        </w:rPr>
        <w:t xml:space="preserve">, Toronto, Canada). A pressure-volume catheter (Millar 1.4 Fr, SPR 835, Millar Instruments, Inc., Houston, TX, USA) was used to record intraventricular pressure and volume by insertion into the left ventricle through the right carotid artery. All measurements were performed as described previously </w:t>
      </w:r>
      <w:r w:rsidRPr="008F4041">
        <w:rPr>
          <w:rFonts w:ascii="Calibri" w:eastAsia="Arial Unicode MS" w:hAnsi="Calibri" w:cs="Calibri"/>
          <w:sz w:val="22"/>
          <w:lang w:val="en-GB"/>
        </w:rPr>
        <w:fldChar w:fldCharType="begin"/>
      </w:r>
      <w:r>
        <w:rPr>
          <w:rFonts w:ascii="Calibri" w:eastAsia="Arial Unicode MS" w:hAnsi="Calibri" w:cs="Calibri"/>
          <w:sz w:val="22"/>
          <w:lang w:val="en-GB"/>
        </w:rPr>
        <w:instrText xml:space="preserve"> ADDIN NE.Ref.{39B92859-D827-466D-B94E-B136AE771864}</w:instrText>
      </w:r>
      <w:r w:rsidRPr="008F4041">
        <w:rPr>
          <w:rFonts w:ascii="Calibri" w:eastAsia="Arial Unicode MS" w:hAnsi="Calibri" w:cs="Calibri"/>
          <w:sz w:val="22"/>
          <w:lang w:val="en-GB"/>
        </w:rPr>
        <w:fldChar w:fldCharType="separate"/>
      </w:r>
      <w:r w:rsidR="00B51DAE">
        <w:rPr>
          <w:rFonts w:ascii="Calibri" w:hAnsi="Calibri" w:cs="Calibri"/>
          <w:color w:val="080000"/>
          <w:kern w:val="0"/>
          <w:sz w:val="22"/>
        </w:rPr>
        <w:t>[1]</w:t>
      </w:r>
      <w:r w:rsidRPr="008F4041">
        <w:rPr>
          <w:rFonts w:ascii="Calibri" w:eastAsia="Arial Unicode MS" w:hAnsi="Calibri" w:cs="Calibri"/>
          <w:sz w:val="22"/>
          <w:lang w:val="en-GB"/>
        </w:rPr>
        <w:fldChar w:fldCharType="end"/>
      </w:r>
      <w:r w:rsidRPr="008F4041">
        <w:rPr>
          <w:rFonts w:ascii="Calibri" w:eastAsia="Arial Unicode MS" w:hAnsi="Calibri" w:cs="Calibri"/>
          <w:sz w:val="22"/>
          <w:lang w:val="en-GB"/>
        </w:rPr>
        <w:t>.</w:t>
      </w:r>
    </w:p>
    <w:p w14:paraId="65644468" w14:textId="77777777" w:rsidR="00DB497F" w:rsidRPr="008F4041" w:rsidRDefault="00DB497F" w:rsidP="00DB497F">
      <w:pPr>
        <w:spacing w:line="480" w:lineRule="auto"/>
        <w:rPr>
          <w:rFonts w:ascii="Calibri" w:eastAsia="Arial Unicode MS" w:hAnsi="Calibri" w:cs="Calibri"/>
          <w:sz w:val="22"/>
          <w:lang w:val="en-GB"/>
        </w:rPr>
      </w:pPr>
    </w:p>
    <w:p w14:paraId="52A13980" w14:textId="77777777" w:rsidR="00DB497F" w:rsidRPr="00B51DAE" w:rsidRDefault="00DB497F" w:rsidP="00B51DAE">
      <w:pPr>
        <w:spacing w:line="480" w:lineRule="auto"/>
        <w:outlineLvl w:val="0"/>
        <w:rPr>
          <w:rFonts w:ascii="Calibri" w:eastAsia="Arial Unicode MS" w:hAnsi="Calibri" w:cs="Calibri"/>
          <w:b/>
          <w:sz w:val="22"/>
          <w:lang w:val="en-GB"/>
        </w:rPr>
      </w:pPr>
      <w:r w:rsidRPr="00B51DAE">
        <w:rPr>
          <w:rFonts w:ascii="Calibri" w:eastAsia="Arial Unicode MS" w:hAnsi="Calibri" w:cs="Calibri"/>
          <w:b/>
          <w:sz w:val="22"/>
          <w:lang w:val="en-GB"/>
        </w:rPr>
        <w:t>Determination of infarct size</w:t>
      </w:r>
    </w:p>
    <w:p w14:paraId="11E24324" w14:textId="3E2DE04E" w:rsidR="00B51DAE" w:rsidRDefault="00DB497F" w:rsidP="001B0162">
      <w:pPr>
        <w:autoSpaceDE w:val="0"/>
        <w:autoSpaceDN w:val="0"/>
        <w:adjustRightInd w:val="0"/>
        <w:spacing w:line="480" w:lineRule="auto"/>
        <w:jc w:val="left"/>
        <w:rPr>
          <w:rFonts w:ascii="Times New Roman" w:hAnsi="Times New Roman" w:cs="Times New Roman"/>
          <w:kern w:val="0"/>
          <w:sz w:val="24"/>
          <w:szCs w:val="24"/>
        </w:rPr>
      </w:pPr>
      <w:bookmarkStart w:id="2" w:name="OLE_LINK28"/>
      <w:bookmarkStart w:id="3" w:name="OLE_LINK29"/>
      <w:r w:rsidRPr="008F4041">
        <w:rPr>
          <w:rFonts w:ascii="Calibri" w:eastAsia="Arial Unicode MS" w:hAnsi="Calibri" w:cs="Calibri"/>
          <w:sz w:val="22"/>
          <w:lang w:val="en-GB"/>
        </w:rPr>
        <w:t>At the end of 24 h PMI</w:t>
      </w:r>
      <w:bookmarkEnd w:id="2"/>
      <w:bookmarkEnd w:id="3"/>
      <w:r w:rsidRPr="008F4041">
        <w:rPr>
          <w:rFonts w:ascii="Calibri" w:eastAsia="Arial Unicode MS" w:hAnsi="Calibri" w:cs="Calibri"/>
          <w:sz w:val="22"/>
          <w:lang w:val="en-GB"/>
        </w:rPr>
        <w:t xml:space="preserve">, the mice were anesthetised and the hearts were excised quickly and sliced into five sections uniformly from the apical to the basal segments perpendicularly to the long axis of the heart. The sections were incubated with 1% </w:t>
      </w:r>
      <w:proofErr w:type="spellStart"/>
      <w:r w:rsidRPr="008F4041">
        <w:rPr>
          <w:rFonts w:ascii="Calibri" w:eastAsia="Arial Unicode MS" w:hAnsi="Calibri" w:cs="Calibri"/>
          <w:sz w:val="22"/>
          <w:lang w:val="en-GB"/>
        </w:rPr>
        <w:t>triphenyltetrazolium</w:t>
      </w:r>
      <w:proofErr w:type="spellEnd"/>
      <w:r w:rsidRPr="008F4041">
        <w:rPr>
          <w:rFonts w:ascii="Calibri" w:eastAsia="Arial Unicode MS" w:hAnsi="Calibri" w:cs="Calibri"/>
          <w:sz w:val="22"/>
          <w:lang w:val="en-GB"/>
        </w:rPr>
        <w:t xml:space="preserve"> chloride (TTC, Sigma, St. Louis, MO, USA) in phosphate-buffered saline (PBS; pH 7.4) for 20 min in a 37°C water bath and then photographed. TTC-stained (non-infarcted myocardium) and TTC-negative (infracted myocardial) areas were measured using ImageJ software (NIH, Bethesda, MD, USA). Myocardial infarct size was calculated as a percentage of the total LV mass as previously described </w:t>
      </w:r>
      <w:r w:rsidRPr="008F4041">
        <w:rPr>
          <w:rFonts w:ascii="Calibri" w:eastAsia="Arial Unicode MS" w:hAnsi="Calibri" w:cs="Calibri"/>
          <w:sz w:val="22"/>
          <w:lang w:val="en-GB"/>
        </w:rPr>
        <w:fldChar w:fldCharType="begin"/>
      </w:r>
      <w:r>
        <w:rPr>
          <w:rFonts w:ascii="Calibri" w:eastAsia="Arial Unicode MS" w:hAnsi="Calibri" w:cs="Calibri"/>
          <w:sz w:val="22"/>
          <w:lang w:val="en-GB"/>
        </w:rPr>
        <w:instrText xml:space="preserve"> ADDIN NE.Ref.{A100D783-2371-414C-878F-E3A2D66C6F9C}</w:instrText>
      </w:r>
      <w:r w:rsidRPr="008F4041">
        <w:rPr>
          <w:rFonts w:ascii="Calibri" w:eastAsia="Arial Unicode MS" w:hAnsi="Calibri" w:cs="Calibri"/>
          <w:sz w:val="22"/>
          <w:lang w:val="en-GB"/>
        </w:rPr>
        <w:fldChar w:fldCharType="separate"/>
      </w:r>
      <w:r w:rsidR="00B51DAE">
        <w:rPr>
          <w:rFonts w:ascii="Calibri" w:hAnsi="Calibri" w:cs="Calibri"/>
          <w:color w:val="080000"/>
          <w:kern w:val="0"/>
          <w:sz w:val="22"/>
        </w:rPr>
        <w:t>[2]</w:t>
      </w:r>
      <w:r w:rsidRPr="008F4041">
        <w:rPr>
          <w:rFonts w:ascii="Calibri" w:eastAsia="Arial Unicode MS" w:hAnsi="Calibri" w:cs="Calibri"/>
          <w:sz w:val="22"/>
          <w:lang w:val="en-GB"/>
        </w:rPr>
        <w:fldChar w:fldCharType="end"/>
      </w:r>
      <w:r w:rsidRPr="008F4041">
        <w:rPr>
          <w:rFonts w:ascii="Calibri" w:eastAsia="Arial Unicode MS" w:hAnsi="Calibri" w:cs="Calibri"/>
          <w:sz w:val="22"/>
          <w:lang w:val="en-GB"/>
        </w:rPr>
        <w:t>.</w:t>
      </w:r>
      <w:r>
        <w:fldChar w:fldCharType="begin"/>
      </w:r>
      <w:r>
        <w:instrText xml:space="preserve"> ADDIN NE.Bib</w:instrText>
      </w:r>
      <w:r>
        <w:fldChar w:fldCharType="separate"/>
      </w:r>
    </w:p>
    <w:p w14:paraId="303667EA" w14:textId="77777777" w:rsidR="00B51DAE" w:rsidRDefault="00B51DAE" w:rsidP="00B51DAE">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b/>
          <w:bCs/>
          <w:color w:val="000000"/>
          <w:kern w:val="0"/>
          <w:sz w:val="40"/>
          <w:szCs w:val="40"/>
        </w:rPr>
        <w:t>References:</w:t>
      </w:r>
    </w:p>
    <w:p w14:paraId="323D3973" w14:textId="77777777" w:rsidR="00B51DAE" w:rsidRDefault="00B51DAE" w:rsidP="00B51DAE">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1</w:t>
      </w:r>
      <w:r>
        <w:rPr>
          <w:rFonts w:ascii="Times New Roman" w:hAnsi="Times New Roman" w:cs="Times New Roman"/>
          <w:color w:val="000000"/>
          <w:kern w:val="0"/>
          <w:sz w:val="20"/>
          <w:szCs w:val="20"/>
        </w:rPr>
        <w:tab/>
        <w:t>Wu L, Wang K, Wang W, Wen Z, Wang P, Liu L, Wang DW: Glucagon-like peptide-1 ameliorates cardiac lipotoxicity in diabetic cardiomyopathy via the PPARalpha pathway. AGING CELL 2018;17:e12763.</w:t>
      </w:r>
    </w:p>
    <w:p w14:paraId="71D1C884" w14:textId="77777777" w:rsidR="00B51DAE" w:rsidRDefault="00B51DAE" w:rsidP="00B51DAE">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2</w:t>
      </w:r>
      <w:r>
        <w:rPr>
          <w:rFonts w:ascii="Times New Roman" w:hAnsi="Times New Roman" w:cs="Times New Roman"/>
          <w:color w:val="000000"/>
          <w:kern w:val="0"/>
          <w:sz w:val="20"/>
          <w:szCs w:val="20"/>
        </w:rPr>
        <w:tab/>
        <w:t>Most P, Seifert H, Gao E, Funakoshi H, Volkers M, Heierhorst J, Remppis A, Pleger ST, DeGeorge BJ, Eckhart AD, Feldman AM, Koch WJ: Cardiac S100A1 protein levels determine contractile performance and propensity toward heart failure after myocardial infarction. CIRCULATION 2006;114:1258-1268.</w:t>
      </w:r>
    </w:p>
    <w:p w14:paraId="75174A74" w14:textId="77777777" w:rsidR="00B51DAE" w:rsidRDefault="00DB497F" w:rsidP="00B51DAE">
      <w:pPr>
        <w:autoSpaceDE w:val="0"/>
        <w:autoSpaceDN w:val="0"/>
        <w:adjustRightInd w:val="0"/>
        <w:jc w:val="left"/>
      </w:pPr>
      <w:r>
        <w:fldChar w:fldCharType="end"/>
      </w:r>
    </w:p>
    <w:p w14:paraId="45FACC95" w14:textId="6D549F15" w:rsidR="007742C0" w:rsidRDefault="00B51DAE" w:rsidP="00B51DAE">
      <w:pPr>
        <w:widowControl/>
        <w:jc w:val="left"/>
      </w:pPr>
      <w:r>
        <w:br w:type="page"/>
      </w:r>
    </w:p>
    <w:p w14:paraId="0B0D24C5" w14:textId="164A21B7" w:rsidR="00B51DAE" w:rsidRDefault="00B51DAE" w:rsidP="00DB497F">
      <w:pPr>
        <w:rPr>
          <w:rFonts w:ascii="Calibri" w:hAnsi="Calibri" w:cs="Calibri"/>
          <w:b/>
          <w:sz w:val="22"/>
        </w:rPr>
      </w:pPr>
      <w:r w:rsidRPr="00B51DAE">
        <w:rPr>
          <w:rFonts w:ascii="Calibri" w:hAnsi="Calibri" w:cs="Calibri"/>
          <w:b/>
          <w:sz w:val="22"/>
        </w:rPr>
        <w:lastRenderedPageBreak/>
        <w:t>Supplemental results</w:t>
      </w:r>
      <w:r>
        <w:rPr>
          <w:rFonts w:ascii="Calibri" w:hAnsi="Calibri" w:cs="Calibri"/>
          <w:b/>
          <w:sz w:val="22"/>
        </w:rPr>
        <w:t>:</w:t>
      </w:r>
    </w:p>
    <w:p w14:paraId="0387B1F0" w14:textId="77777777" w:rsidR="00B51DAE" w:rsidRPr="00B51DAE" w:rsidRDefault="00B51DAE" w:rsidP="00B51DAE">
      <w:pPr>
        <w:spacing w:line="480" w:lineRule="auto"/>
        <w:rPr>
          <w:rFonts w:ascii="Calibri" w:eastAsia="Arial Unicode MS" w:hAnsi="Calibri" w:cs="Calibri"/>
          <w:b/>
          <w:sz w:val="22"/>
          <w:lang w:val="en-GB"/>
        </w:rPr>
      </w:pPr>
      <w:r w:rsidRPr="00B51DAE">
        <w:rPr>
          <w:rFonts w:ascii="Calibri" w:eastAsia="Arial Unicode MS" w:hAnsi="Calibri" w:cs="Calibri"/>
          <w:b/>
          <w:sz w:val="22"/>
          <w:lang w:val="en-GB"/>
        </w:rPr>
        <w:t>Cardiac-specific overexpression of Cav3 rescued cardiac dysfunction in the post-MI mice</w:t>
      </w:r>
    </w:p>
    <w:p w14:paraId="44F2B235" w14:textId="1A0D76A9" w:rsidR="00B211D8" w:rsidRPr="00B211D8" w:rsidRDefault="00B211D8" w:rsidP="00B211D8">
      <w:pPr>
        <w:spacing w:line="480" w:lineRule="auto"/>
        <w:rPr>
          <w:rFonts w:ascii="Calibri" w:eastAsia="Arial Unicode MS" w:hAnsi="Calibri" w:cs="Calibri"/>
          <w:sz w:val="22"/>
        </w:rPr>
      </w:pPr>
      <w:r w:rsidRPr="00B211D8">
        <w:rPr>
          <w:rFonts w:ascii="Calibri" w:eastAsia="Arial Unicode MS" w:hAnsi="Calibri" w:cs="Calibri"/>
          <w:sz w:val="22"/>
        </w:rPr>
        <w:t>We also assessed cardiac function of mice while detecting ventricular arrhythmias after myocardial infarction. Echocardiography at 24h after MI or sham operations demonstrated that LVs were enlarged and LV systolic function was impaired in MI groups compared with sham groups (</w:t>
      </w:r>
      <w:bookmarkStart w:id="4" w:name="OLE_LINK39"/>
      <w:bookmarkStart w:id="5" w:name="OLE_LINK40"/>
      <w:r w:rsidRPr="00B211D8">
        <w:rPr>
          <w:rFonts w:ascii="Calibri" w:eastAsia="Arial Unicode MS" w:hAnsi="Calibri" w:cs="Calibri"/>
          <w:sz w:val="22"/>
        </w:rPr>
        <w:t>Supplementary</w:t>
      </w:r>
      <w:bookmarkEnd w:id="4"/>
      <w:bookmarkEnd w:id="5"/>
      <w:r w:rsidRPr="00B211D8">
        <w:rPr>
          <w:rFonts w:ascii="Calibri" w:eastAsia="Arial Unicode MS" w:hAnsi="Calibri" w:cs="Calibri"/>
          <w:sz w:val="22"/>
        </w:rPr>
        <w:t xml:space="preserve"> Fig.2</w:t>
      </w:r>
      <w:r w:rsidRPr="00B211D8">
        <w:rPr>
          <w:rFonts w:ascii="Calibri" w:eastAsia="Arial Unicode MS" w:hAnsi="Calibri" w:cs="Calibri"/>
          <w:i/>
          <w:sz w:val="22"/>
        </w:rPr>
        <w:t>A</w:t>
      </w:r>
      <w:r w:rsidRPr="00B211D8">
        <w:rPr>
          <w:rFonts w:ascii="Calibri" w:eastAsia="Arial Unicode MS" w:hAnsi="Calibri" w:cs="Calibri"/>
          <w:sz w:val="22"/>
        </w:rPr>
        <w:t>). Interestingly, rAAV-Cav3 mice had a</w:t>
      </w:r>
      <w:r w:rsidR="00E11A64">
        <w:rPr>
          <w:rFonts w:ascii="Calibri" w:eastAsia="Arial Unicode MS" w:hAnsi="Calibri" w:cs="Calibri"/>
          <w:sz w:val="22"/>
        </w:rPr>
        <w:t>n</w:t>
      </w:r>
      <w:r w:rsidRPr="00B211D8">
        <w:rPr>
          <w:rFonts w:ascii="Calibri" w:eastAsia="Arial Unicode MS" w:hAnsi="Calibri" w:cs="Calibri"/>
          <w:sz w:val="22"/>
        </w:rPr>
        <w:t xml:space="preserve"> increased ejection fraction of 36±3% compared with 29±2% in </w:t>
      </w:r>
      <w:proofErr w:type="spellStart"/>
      <w:r w:rsidRPr="00B211D8">
        <w:rPr>
          <w:rFonts w:ascii="Calibri" w:eastAsia="Arial Unicode MS" w:hAnsi="Calibri" w:cs="Calibri"/>
          <w:sz w:val="22"/>
        </w:rPr>
        <w:t>rAAV</w:t>
      </w:r>
      <w:proofErr w:type="spellEnd"/>
      <w:r w:rsidRPr="00B211D8">
        <w:rPr>
          <w:rFonts w:ascii="Calibri" w:eastAsia="Arial Unicode MS" w:hAnsi="Calibri" w:cs="Calibri"/>
          <w:sz w:val="22"/>
        </w:rPr>
        <w:t>-RFP mice (Supplementary Fig.2</w:t>
      </w:r>
      <w:r w:rsidRPr="00B211D8">
        <w:rPr>
          <w:rFonts w:ascii="Calibri" w:eastAsia="Arial Unicode MS" w:hAnsi="Calibri" w:cs="Calibri"/>
          <w:i/>
          <w:sz w:val="22"/>
        </w:rPr>
        <w:t>B</w:t>
      </w:r>
      <w:r w:rsidRPr="00B211D8">
        <w:rPr>
          <w:rFonts w:ascii="Calibri" w:eastAsia="Arial Unicode MS" w:hAnsi="Calibri" w:cs="Calibri"/>
          <w:sz w:val="22"/>
        </w:rPr>
        <w:t xml:space="preserve">). Detailed measurement of heart function was performed by invasive pressure-volume analyses. We found that the cardiac function of MI mice was </w:t>
      </w:r>
      <w:hyperlink r:id="rId9" w:history="1">
        <w:r w:rsidRPr="00B211D8">
          <w:rPr>
            <w:rFonts w:ascii="Calibri" w:eastAsia="Arial Unicode MS" w:hAnsi="Calibri" w:cs="Calibri"/>
            <w:sz w:val="22"/>
          </w:rPr>
          <w:t>significantly</w:t>
        </w:r>
      </w:hyperlink>
      <w:r w:rsidRPr="00B211D8">
        <w:rPr>
          <w:rFonts w:ascii="Calibri" w:hAnsi="Calibri" w:cs="Calibri"/>
          <w:sz w:val="22"/>
        </w:rPr>
        <w:t xml:space="preserve"> </w:t>
      </w:r>
      <w:r w:rsidRPr="00B211D8">
        <w:rPr>
          <w:rFonts w:ascii="Calibri" w:eastAsia="Arial Unicode MS" w:hAnsi="Calibri" w:cs="Calibri"/>
          <w:sz w:val="22"/>
        </w:rPr>
        <w:t xml:space="preserve">decreased compared with the sham controls, as evidenced by decreases in </w:t>
      </w:r>
      <w:proofErr w:type="spellStart"/>
      <w:r w:rsidRPr="00B211D8">
        <w:rPr>
          <w:rFonts w:ascii="Calibri" w:eastAsia="Arial Unicode MS" w:hAnsi="Calibri" w:cs="Calibri"/>
          <w:sz w:val="22"/>
        </w:rPr>
        <w:t>dp</w:t>
      </w:r>
      <w:proofErr w:type="spellEnd"/>
      <w:r w:rsidRPr="00B211D8">
        <w:rPr>
          <w:rFonts w:ascii="Calibri" w:eastAsia="Arial Unicode MS" w:hAnsi="Calibri" w:cs="Calibri"/>
          <w:sz w:val="22"/>
        </w:rPr>
        <w:t>/</w:t>
      </w:r>
      <w:proofErr w:type="spellStart"/>
      <w:r w:rsidRPr="00B211D8">
        <w:rPr>
          <w:rFonts w:ascii="Calibri" w:eastAsia="Arial Unicode MS" w:hAnsi="Calibri" w:cs="Calibri"/>
          <w:sz w:val="22"/>
        </w:rPr>
        <w:t>dtmax</w:t>
      </w:r>
      <w:proofErr w:type="spellEnd"/>
      <w:r w:rsidRPr="00B211D8">
        <w:rPr>
          <w:rFonts w:ascii="Calibri" w:eastAsia="Arial Unicode MS" w:hAnsi="Calibri" w:cs="Calibri"/>
          <w:sz w:val="22"/>
        </w:rPr>
        <w:t xml:space="preserve"> and </w:t>
      </w:r>
      <w:proofErr w:type="spellStart"/>
      <w:r w:rsidRPr="00B211D8">
        <w:rPr>
          <w:rFonts w:ascii="Calibri" w:eastAsia="Arial Unicode MS" w:hAnsi="Calibri" w:cs="Calibri"/>
          <w:sz w:val="22"/>
        </w:rPr>
        <w:t>dp</w:t>
      </w:r>
      <w:proofErr w:type="spellEnd"/>
      <w:r w:rsidRPr="00B211D8">
        <w:rPr>
          <w:rFonts w:ascii="Calibri" w:eastAsia="Arial Unicode MS" w:hAnsi="Calibri" w:cs="Calibri"/>
          <w:sz w:val="22"/>
        </w:rPr>
        <w:t>/</w:t>
      </w:r>
      <w:proofErr w:type="spellStart"/>
      <w:r w:rsidRPr="00B211D8">
        <w:rPr>
          <w:rFonts w:ascii="Calibri" w:eastAsia="Arial Unicode MS" w:hAnsi="Calibri" w:cs="Calibri"/>
          <w:sz w:val="22"/>
        </w:rPr>
        <w:t>dtmin</w:t>
      </w:r>
      <w:proofErr w:type="spellEnd"/>
      <w:r w:rsidRPr="00B211D8">
        <w:rPr>
          <w:rFonts w:ascii="Calibri" w:eastAsia="Arial Unicode MS" w:hAnsi="Calibri" w:cs="Calibri"/>
          <w:sz w:val="22"/>
        </w:rPr>
        <w:t xml:space="preserve">; cardiac-specific overexpression of Cav3 reversed these impairments (Supplementary Fig.2, </w:t>
      </w:r>
      <w:r w:rsidRPr="00B211D8">
        <w:rPr>
          <w:rFonts w:ascii="Calibri" w:eastAsia="Arial Unicode MS" w:hAnsi="Calibri" w:cs="Calibri"/>
          <w:i/>
          <w:sz w:val="22"/>
        </w:rPr>
        <w:t>C</w:t>
      </w:r>
      <w:r w:rsidRPr="00B211D8">
        <w:rPr>
          <w:rFonts w:ascii="Calibri" w:eastAsia="Arial Unicode MS" w:hAnsi="Calibri" w:cs="Calibri"/>
          <w:sz w:val="22"/>
        </w:rPr>
        <w:t xml:space="preserve"> and </w:t>
      </w:r>
      <w:r w:rsidRPr="00B211D8">
        <w:rPr>
          <w:rFonts w:ascii="Calibri" w:eastAsia="Arial Unicode MS" w:hAnsi="Calibri" w:cs="Calibri"/>
          <w:i/>
          <w:sz w:val="22"/>
        </w:rPr>
        <w:t>D</w:t>
      </w:r>
      <w:r w:rsidRPr="00B211D8">
        <w:rPr>
          <w:rFonts w:ascii="Calibri" w:eastAsia="Arial Unicode MS" w:hAnsi="Calibri" w:cs="Calibri"/>
          <w:sz w:val="22"/>
        </w:rPr>
        <w:t xml:space="preserve">). Based on our measurements of cardiac function, infarct sizes in the rAAV-Cav3 mice were decreased relative to those of the </w:t>
      </w:r>
      <w:proofErr w:type="spellStart"/>
      <w:r w:rsidRPr="00B211D8">
        <w:rPr>
          <w:rFonts w:ascii="Calibri" w:eastAsia="Arial Unicode MS" w:hAnsi="Calibri" w:cs="Calibri"/>
          <w:sz w:val="22"/>
        </w:rPr>
        <w:t>rAAV</w:t>
      </w:r>
      <w:proofErr w:type="spellEnd"/>
      <w:r w:rsidRPr="00B211D8">
        <w:rPr>
          <w:rFonts w:ascii="Calibri" w:eastAsia="Arial Unicode MS" w:hAnsi="Calibri" w:cs="Calibri"/>
          <w:sz w:val="22"/>
        </w:rPr>
        <w:t>-RFP mice (4</w:t>
      </w:r>
      <w:r w:rsidR="00493EAA">
        <w:rPr>
          <w:rFonts w:ascii="Calibri" w:eastAsia="Arial Unicode MS" w:hAnsi="Calibri" w:cs="Calibri"/>
          <w:sz w:val="22"/>
        </w:rPr>
        <w:t>2</w:t>
      </w:r>
      <w:r w:rsidRPr="00B211D8">
        <w:rPr>
          <w:rFonts w:ascii="Calibri" w:eastAsia="Arial Unicode MS" w:hAnsi="Calibri" w:cs="Calibri"/>
          <w:sz w:val="22"/>
        </w:rPr>
        <w:t>.</w:t>
      </w:r>
      <w:r w:rsidR="00493EAA">
        <w:rPr>
          <w:rFonts w:ascii="Calibri" w:eastAsia="Arial Unicode MS" w:hAnsi="Calibri" w:cs="Calibri"/>
          <w:sz w:val="22"/>
        </w:rPr>
        <w:t>3</w:t>
      </w:r>
      <w:r w:rsidRPr="00B211D8">
        <w:rPr>
          <w:rFonts w:ascii="Calibri" w:eastAsia="Arial Unicode MS" w:hAnsi="Calibri" w:cs="Calibri"/>
          <w:sz w:val="22"/>
        </w:rPr>
        <w:t>±</w:t>
      </w:r>
      <w:r w:rsidR="00493EAA">
        <w:rPr>
          <w:rFonts w:ascii="Calibri" w:eastAsia="Arial Unicode MS" w:hAnsi="Calibri" w:cs="Calibri"/>
          <w:sz w:val="22"/>
        </w:rPr>
        <w:t>3</w:t>
      </w:r>
      <w:r w:rsidRPr="00B211D8">
        <w:rPr>
          <w:rFonts w:ascii="Calibri" w:eastAsia="Arial Unicode MS" w:hAnsi="Calibri" w:cs="Calibri"/>
          <w:sz w:val="22"/>
        </w:rPr>
        <w:t>.</w:t>
      </w:r>
      <w:r w:rsidR="00493EAA">
        <w:rPr>
          <w:rFonts w:ascii="Calibri" w:eastAsia="Arial Unicode MS" w:hAnsi="Calibri" w:cs="Calibri"/>
          <w:sz w:val="22"/>
        </w:rPr>
        <w:t>5</w:t>
      </w:r>
      <w:r w:rsidRPr="00B211D8">
        <w:rPr>
          <w:rFonts w:ascii="Calibri" w:eastAsia="Arial Unicode MS" w:hAnsi="Calibri" w:cs="Calibri"/>
          <w:sz w:val="22"/>
        </w:rPr>
        <w:t>% in rAAV-Cav3 versus 54.</w:t>
      </w:r>
      <w:r w:rsidR="00720622">
        <w:rPr>
          <w:rFonts w:ascii="Calibri" w:eastAsia="Arial Unicode MS" w:hAnsi="Calibri" w:cs="Calibri"/>
          <w:sz w:val="22"/>
        </w:rPr>
        <w:t>1</w:t>
      </w:r>
      <w:r w:rsidRPr="00B211D8">
        <w:rPr>
          <w:rFonts w:ascii="Calibri" w:eastAsia="Arial Unicode MS" w:hAnsi="Calibri" w:cs="Calibri"/>
          <w:sz w:val="22"/>
        </w:rPr>
        <w:t>±1.</w:t>
      </w:r>
      <w:r w:rsidR="00493EAA">
        <w:rPr>
          <w:rFonts w:ascii="Calibri" w:eastAsia="Arial Unicode MS" w:hAnsi="Calibri" w:cs="Calibri"/>
          <w:sz w:val="22"/>
        </w:rPr>
        <w:t>6</w:t>
      </w:r>
      <w:r w:rsidRPr="00B211D8">
        <w:rPr>
          <w:rFonts w:ascii="Calibri" w:eastAsia="Arial Unicode MS" w:hAnsi="Calibri" w:cs="Calibri"/>
          <w:sz w:val="22"/>
        </w:rPr>
        <w:t xml:space="preserve">% in </w:t>
      </w:r>
      <w:proofErr w:type="spellStart"/>
      <w:r w:rsidRPr="00B211D8">
        <w:rPr>
          <w:rFonts w:ascii="Calibri" w:eastAsia="Arial Unicode MS" w:hAnsi="Calibri" w:cs="Calibri"/>
          <w:sz w:val="22"/>
        </w:rPr>
        <w:t>rAAV</w:t>
      </w:r>
      <w:proofErr w:type="spellEnd"/>
      <w:r w:rsidRPr="00B211D8">
        <w:rPr>
          <w:rFonts w:ascii="Calibri" w:eastAsia="Arial Unicode MS" w:hAnsi="Calibri" w:cs="Calibri"/>
          <w:sz w:val="22"/>
        </w:rPr>
        <w:t xml:space="preserve">-RFP, Supplementary Fig. 2, </w:t>
      </w:r>
      <w:r w:rsidRPr="00B211D8">
        <w:rPr>
          <w:rFonts w:ascii="Calibri" w:eastAsia="Arial Unicode MS" w:hAnsi="Calibri" w:cs="Calibri"/>
          <w:i/>
          <w:sz w:val="22"/>
        </w:rPr>
        <w:t>E</w:t>
      </w:r>
      <w:r w:rsidRPr="00B211D8">
        <w:rPr>
          <w:rFonts w:ascii="Calibri" w:eastAsia="Arial Unicode MS" w:hAnsi="Calibri" w:cs="Calibri"/>
          <w:sz w:val="22"/>
        </w:rPr>
        <w:t xml:space="preserve"> and </w:t>
      </w:r>
      <w:r w:rsidRPr="00B211D8">
        <w:rPr>
          <w:rFonts w:ascii="Calibri" w:eastAsia="Arial Unicode MS" w:hAnsi="Calibri" w:cs="Calibri"/>
          <w:i/>
          <w:sz w:val="22"/>
        </w:rPr>
        <w:t>F</w:t>
      </w:r>
      <w:r w:rsidRPr="00B211D8">
        <w:rPr>
          <w:rFonts w:ascii="Calibri" w:eastAsia="Arial Unicode MS" w:hAnsi="Calibri" w:cs="Calibri"/>
          <w:sz w:val="22"/>
        </w:rPr>
        <w:t>). In conclusion, our data demonstrated that overexpression of Cav3 improved cardiac function in PMI mice.</w:t>
      </w:r>
    </w:p>
    <w:p w14:paraId="34FC1624" w14:textId="19A0D3DC" w:rsidR="00B1079F" w:rsidRDefault="00B1079F">
      <w:pPr>
        <w:widowControl/>
        <w:jc w:val="left"/>
        <w:rPr>
          <w:rFonts w:ascii="Calibri" w:hAnsi="Calibri" w:cs="Calibri"/>
          <w:b/>
          <w:sz w:val="22"/>
        </w:rPr>
      </w:pPr>
      <w:r>
        <w:rPr>
          <w:rFonts w:ascii="Calibri" w:hAnsi="Calibri" w:cs="Calibri"/>
          <w:b/>
          <w:sz w:val="22"/>
        </w:rPr>
        <w:br w:type="page"/>
      </w:r>
    </w:p>
    <w:p w14:paraId="49EC6DBF" w14:textId="16A55A04" w:rsidR="00B51DAE" w:rsidRDefault="00B1079F" w:rsidP="00DB497F">
      <w:pPr>
        <w:rPr>
          <w:rFonts w:ascii="Calibri" w:hAnsi="Calibri" w:cs="Calibri"/>
          <w:b/>
          <w:sz w:val="22"/>
        </w:rPr>
      </w:pPr>
      <w:r w:rsidRPr="00AB00F2">
        <w:rPr>
          <w:rFonts w:ascii="Arial" w:hAnsi="Arial" w:cs="Arial"/>
          <w:b/>
          <w:noProof/>
        </w:rPr>
        <w:lastRenderedPageBreak/>
        <w:drawing>
          <wp:inline distT="0" distB="0" distL="0" distR="0" wp14:anchorId="127DAFA8" wp14:editId="21435DA9">
            <wp:extent cx="5274310" cy="6592570"/>
            <wp:effectExtent l="0" t="0" r="2540" b="0"/>
            <wp:docPr id="3" name="图片 1" descr="C:\Users\drzzh\Desktop\上传file\IJC\FigS1-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zzh\Desktop\上传file\IJC\FigS1-IJC.jpg"/>
                    <pic:cNvPicPr>
                      <a:picLocks noChangeAspect="1" noChangeArrowheads="1"/>
                    </pic:cNvPicPr>
                  </pic:nvPicPr>
                  <pic:blipFill>
                    <a:blip r:embed="rId10"/>
                    <a:srcRect/>
                    <a:stretch>
                      <a:fillRect/>
                    </a:stretch>
                  </pic:blipFill>
                  <pic:spPr bwMode="auto">
                    <a:xfrm>
                      <a:off x="0" y="0"/>
                      <a:ext cx="5274310" cy="6592570"/>
                    </a:xfrm>
                    <a:prstGeom prst="rect">
                      <a:avLst/>
                    </a:prstGeom>
                    <a:noFill/>
                    <a:ln w="9525">
                      <a:noFill/>
                      <a:miter lim="800000"/>
                      <a:headEnd/>
                      <a:tailEnd/>
                    </a:ln>
                  </pic:spPr>
                </pic:pic>
              </a:graphicData>
            </a:graphic>
          </wp:inline>
        </w:drawing>
      </w:r>
    </w:p>
    <w:p w14:paraId="607B0718" w14:textId="5476D55A" w:rsidR="00F54244" w:rsidRDefault="00B1079F" w:rsidP="00DB497F">
      <w:pPr>
        <w:rPr>
          <w:rFonts w:ascii="Calibri" w:hAnsi="Calibri" w:cs="Calibri"/>
          <w:sz w:val="22"/>
        </w:rPr>
      </w:pPr>
      <w:r w:rsidRPr="00B1079F">
        <w:rPr>
          <w:rFonts w:ascii="Calibri" w:hAnsi="Calibri" w:cs="Calibri"/>
          <w:b/>
          <w:sz w:val="22"/>
        </w:rPr>
        <w:t xml:space="preserve">Supplementary Fig.1. </w:t>
      </w:r>
      <w:r w:rsidRPr="00B1079F">
        <w:rPr>
          <w:rFonts w:ascii="Calibri" w:hAnsi="Calibri" w:cs="Calibri"/>
          <w:sz w:val="22"/>
        </w:rPr>
        <w:t>Representative surface ECG recordings after ISO stimulation of sham and MI mice 24 h PMI.</w:t>
      </w:r>
    </w:p>
    <w:p w14:paraId="6DE3C7B7" w14:textId="77777777" w:rsidR="00F54244" w:rsidRDefault="00F54244">
      <w:pPr>
        <w:widowControl/>
        <w:jc w:val="left"/>
        <w:rPr>
          <w:rFonts w:ascii="Calibri" w:hAnsi="Calibri" w:cs="Calibri"/>
          <w:sz w:val="22"/>
        </w:rPr>
      </w:pPr>
      <w:r>
        <w:rPr>
          <w:rFonts w:ascii="Calibri" w:hAnsi="Calibri" w:cs="Calibri"/>
          <w:sz w:val="22"/>
        </w:rPr>
        <w:br w:type="page"/>
      </w:r>
    </w:p>
    <w:p w14:paraId="78C5B9D3" w14:textId="4E3BF78D" w:rsidR="00B1079F" w:rsidRDefault="00037E0A" w:rsidP="00DB497F">
      <w:pPr>
        <w:rPr>
          <w:rFonts w:ascii="Calibri" w:hAnsi="Calibri" w:cs="Calibri"/>
          <w:b/>
          <w:sz w:val="22"/>
        </w:rPr>
      </w:pPr>
      <w:r>
        <w:rPr>
          <w:noProof/>
        </w:rPr>
        <w:lastRenderedPageBreak/>
        <w:drawing>
          <wp:inline distT="0" distB="0" distL="0" distR="0" wp14:anchorId="1ED8FE77" wp14:editId="4B0D3601">
            <wp:extent cx="5274310" cy="659288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592888"/>
                    </a:xfrm>
                    <a:prstGeom prst="rect">
                      <a:avLst/>
                    </a:prstGeom>
                    <a:noFill/>
                    <a:ln>
                      <a:noFill/>
                    </a:ln>
                  </pic:spPr>
                </pic:pic>
              </a:graphicData>
            </a:graphic>
          </wp:inline>
        </w:drawing>
      </w:r>
    </w:p>
    <w:p w14:paraId="5BC594FF" w14:textId="04F81CC7" w:rsidR="00F54244" w:rsidRPr="00B1079F" w:rsidRDefault="00F54244" w:rsidP="00DB497F">
      <w:pPr>
        <w:rPr>
          <w:rFonts w:ascii="Calibri" w:hAnsi="Calibri" w:cs="Calibri"/>
          <w:b/>
          <w:sz w:val="22"/>
        </w:rPr>
      </w:pPr>
      <w:r w:rsidRPr="00F54244">
        <w:rPr>
          <w:rFonts w:ascii="Calibri" w:hAnsi="Calibri" w:cs="Calibri"/>
          <w:b/>
          <w:sz w:val="22"/>
        </w:rPr>
        <w:t>Supplementary Fig.2.</w:t>
      </w:r>
      <w:r w:rsidRPr="008F4041">
        <w:rPr>
          <w:rFonts w:ascii="Calibri" w:hAnsi="Calibri" w:cs="Calibri"/>
          <w:b/>
          <w:sz w:val="22"/>
          <w:lang w:val="en-GB"/>
        </w:rPr>
        <w:t xml:space="preserve"> </w:t>
      </w:r>
      <w:r w:rsidRPr="008F4041">
        <w:rPr>
          <w:rFonts w:ascii="Calibri" w:hAnsi="Calibri" w:cs="Calibri"/>
          <w:sz w:val="22"/>
          <w:lang w:val="en-GB"/>
        </w:rPr>
        <w:t xml:space="preserve">Cardiac-specific overexpression of Cav3 rescues PMI cardiac dysfunction in mice. </w:t>
      </w:r>
      <w:r w:rsidRPr="008F4041">
        <w:rPr>
          <w:rFonts w:ascii="Calibri" w:hAnsi="Calibri" w:cs="Calibri"/>
          <w:i/>
          <w:sz w:val="22"/>
          <w:lang w:val="en-GB"/>
        </w:rPr>
        <w:t>A:</w:t>
      </w:r>
      <w:r w:rsidRPr="008F4041">
        <w:rPr>
          <w:rFonts w:ascii="Calibri" w:hAnsi="Calibri" w:cs="Calibri"/>
          <w:sz w:val="22"/>
          <w:lang w:val="en-GB"/>
        </w:rPr>
        <w:t xml:space="preserve"> Representative M-mode trace, </w:t>
      </w:r>
      <w:r w:rsidRPr="008F4041">
        <w:rPr>
          <w:rFonts w:ascii="Calibri" w:hAnsi="Calibri" w:cs="Calibri"/>
          <w:i/>
          <w:sz w:val="22"/>
          <w:lang w:val="en-GB"/>
        </w:rPr>
        <w:t>B:</w:t>
      </w:r>
      <w:r w:rsidRPr="008F4041">
        <w:rPr>
          <w:rFonts w:ascii="Calibri" w:hAnsi="Calibri" w:cs="Calibri"/>
          <w:sz w:val="22"/>
          <w:lang w:val="en-GB"/>
        </w:rPr>
        <w:t xml:space="preserve"> ejection fraction calculated from echocardiography, n = 10 for each sham group and n = 11 for each MI group</w:t>
      </w:r>
      <w:r w:rsidRPr="008F4041">
        <w:rPr>
          <w:rFonts w:ascii="Calibri" w:hAnsi="Calibri" w:cs="Calibri"/>
          <w:i/>
          <w:sz w:val="22"/>
          <w:lang w:val="en-GB"/>
        </w:rPr>
        <w:t>. C–F:</w:t>
      </w:r>
      <w:r w:rsidRPr="008F4041">
        <w:rPr>
          <w:rFonts w:ascii="Calibri" w:hAnsi="Calibri" w:cs="Calibri"/>
          <w:sz w:val="22"/>
          <w:lang w:val="en-GB"/>
        </w:rPr>
        <w:t xml:space="preserve"> quantification of (</w:t>
      </w:r>
      <w:r w:rsidRPr="008F4041">
        <w:rPr>
          <w:rFonts w:ascii="Calibri" w:hAnsi="Calibri" w:cs="Calibri"/>
          <w:i/>
          <w:sz w:val="22"/>
          <w:lang w:val="en-GB"/>
        </w:rPr>
        <w:t>C</w:t>
      </w:r>
      <w:r w:rsidRPr="008F4041">
        <w:rPr>
          <w:rFonts w:ascii="Calibri" w:hAnsi="Calibri" w:cs="Calibri"/>
          <w:sz w:val="22"/>
          <w:lang w:val="en-GB"/>
        </w:rPr>
        <w:t xml:space="preserve">) max </w:t>
      </w:r>
      <w:proofErr w:type="spellStart"/>
      <w:r w:rsidRPr="008F4041">
        <w:rPr>
          <w:rFonts w:ascii="Calibri" w:hAnsi="Calibri" w:cs="Calibri"/>
          <w:sz w:val="22"/>
          <w:lang w:val="en-GB"/>
        </w:rPr>
        <w:t>dp</w:t>
      </w:r>
      <w:proofErr w:type="spellEnd"/>
      <w:r w:rsidRPr="008F4041">
        <w:rPr>
          <w:rFonts w:ascii="Calibri" w:hAnsi="Calibri" w:cs="Calibri"/>
          <w:sz w:val="22"/>
          <w:lang w:val="en-GB"/>
        </w:rPr>
        <w:t xml:space="preserve">/dt, peak rate of pressure </w:t>
      </w:r>
      <w:proofErr w:type="gramStart"/>
      <w:r w:rsidRPr="008F4041">
        <w:rPr>
          <w:rFonts w:ascii="Calibri" w:hAnsi="Calibri" w:cs="Calibri"/>
          <w:sz w:val="22"/>
          <w:lang w:val="en-GB"/>
        </w:rPr>
        <w:t>increase</w:t>
      </w:r>
      <w:proofErr w:type="gramEnd"/>
      <w:r w:rsidRPr="008F4041">
        <w:rPr>
          <w:rFonts w:ascii="Calibri" w:hAnsi="Calibri" w:cs="Calibri"/>
          <w:sz w:val="22"/>
          <w:lang w:val="en-GB"/>
        </w:rPr>
        <w:t>, (</w:t>
      </w:r>
      <w:r w:rsidRPr="008F4041">
        <w:rPr>
          <w:rFonts w:ascii="Calibri" w:hAnsi="Calibri" w:cs="Calibri"/>
          <w:i/>
          <w:sz w:val="22"/>
          <w:lang w:val="en-GB"/>
        </w:rPr>
        <w:t>D</w:t>
      </w:r>
      <w:r w:rsidRPr="008F4041">
        <w:rPr>
          <w:rFonts w:ascii="Calibri" w:hAnsi="Calibri" w:cs="Calibri"/>
          <w:sz w:val="22"/>
          <w:lang w:val="en-GB"/>
        </w:rPr>
        <w:t xml:space="preserve">) quantification of min </w:t>
      </w:r>
      <w:proofErr w:type="spellStart"/>
      <w:r w:rsidRPr="008F4041">
        <w:rPr>
          <w:rFonts w:ascii="Calibri" w:hAnsi="Calibri" w:cs="Calibri"/>
          <w:sz w:val="22"/>
          <w:lang w:val="en-GB"/>
        </w:rPr>
        <w:t>dp</w:t>
      </w:r>
      <w:proofErr w:type="spellEnd"/>
      <w:r w:rsidRPr="008F4041">
        <w:rPr>
          <w:rFonts w:ascii="Calibri" w:hAnsi="Calibri" w:cs="Calibri"/>
          <w:sz w:val="22"/>
          <w:lang w:val="en-GB"/>
        </w:rPr>
        <w:t>/dt, peak rate of pressure decline, n = 7. (</w:t>
      </w:r>
      <w:r w:rsidRPr="008F4041">
        <w:rPr>
          <w:rFonts w:ascii="Calibri" w:hAnsi="Calibri" w:cs="Calibri"/>
          <w:i/>
          <w:sz w:val="22"/>
          <w:lang w:val="en-GB"/>
        </w:rPr>
        <w:t>E</w:t>
      </w:r>
      <w:r w:rsidRPr="008F4041">
        <w:rPr>
          <w:rFonts w:ascii="Calibri" w:hAnsi="Calibri" w:cs="Calibri"/>
          <w:sz w:val="22"/>
          <w:lang w:val="en-GB"/>
        </w:rPr>
        <w:t>) TTC staining, and (</w:t>
      </w:r>
      <w:r w:rsidRPr="008F4041">
        <w:rPr>
          <w:rFonts w:ascii="Calibri" w:hAnsi="Calibri" w:cs="Calibri"/>
          <w:i/>
          <w:sz w:val="22"/>
          <w:lang w:val="en-GB"/>
        </w:rPr>
        <w:t>F</w:t>
      </w:r>
      <w:r w:rsidRPr="008F4041">
        <w:rPr>
          <w:rFonts w:ascii="Calibri" w:hAnsi="Calibri" w:cs="Calibri"/>
          <w:sz w:val="22"/>
          <w:lang w:val="en-GB"/>
        </w:rPr>
        <w:t xml:space="preserve">) percentage of LV infarct size. n = 3. </w:t>
      </w:r>
      <w:bookmarkStart w:id="6" w:name="OLE_LINK1"/>
      <w:r w:rsidR="007F6EE9" w:rsidRPr="008F4041">
        <w:rPr>
          <w:rFonts w:ascii="Calibri" w:hAnsi="Calibri" w:cs="Calibri"/>
          <w:sz w:val="22"/>
          <w:vertAlign w:val="superscript"/>
          <w:lang w:val="en-GB"/>
        </w:rPr>
        <w:t>$</w:t>
      </w:r>
      <w:r w:rsidR="007F6EE9" w:rsidRPr="008F4041">
        <w:rPr>
          <w:rFonts w:ascii="Calibri" w:hAnsi="Calibri" w:cs="Calibri"/>
          <w:i/>
          <w:sz w:val="22"/>
          <w:lang w:val="en-GB"/>
        </w:rPr>
        <w:t xml:space="preserve">p </w:t>
      </w:r>
      <w:r w:rsidR="007F6EE9" w:rsidRPr="008F4041">
        <w:rPr>
          <w:rFonts w:ascii="Calibri" w:hAnsi="Calibri" w:cs="Calibri"/>
          <w:sz w:val="22"/>
          <w:lang w:val="en-GB"/>
        </w:rPr>
        <w:t xml:space="preserve">&lt; 0.01 vs. </w:t>
      </w:r>
      <w:proofErr w:type="spellStart"/>
      <w:r w:rsidR="007F6EE9" w:rsidRPr="008F4041">
        <w:rPr>
          <w:rFonts w:ascii="Calibri" w:hAnsi="Calibri" w:cs="Calibri"/>
          <w:sz w:val="22"/>
          <w:lang w:val="en-GB"/>
        </w:rPr>
        <w:t>RFP+sham</w:t>
      </w:r>
      <w:proofErr w:type="spellEnd"/>
      <w:r w:rsidR="007F6EE9" w:rsidRPr="008F4041">
        <w:rPr>
          <w:rFonts w:ascii="Calibri" w:hAnsi="Calibri" w:cs="Calibri"/>
          <w:sz w:val="22"/>
          <w:lang w:val="en-GB"/>
        </w:rPr>
        <w:t xml:space="preserve">, </w:t>
      </w:r>
      <w:r w:rsidR="007F6EE9">
        <w:rPr>
          <w:rFonts w:ascii="Calibri" w:hAnsi="Calibri" w:cs="Calibri" w:hint="eastAsia"/>
          <w:sz w:val="22"/>
          <w:lang w:val="en-GB"/>
        </w:rPr>
        <w:t>*</w:t>
      </w:r>
      <w:r w:rsidR="007F6EE9" w:rsidRPr="008F4041">
        <w:rPr>
          <w:rFonts w:ascii="Calibri" w:hAnsi="Calibri" w:cs="Calibri"/>
          <w:i/>
          <w:sz w:val="22"/>
          <w:lang w:val="en-GB"/>
        </w:rPr>
        <w:t xml:space="preserve">p </w:t>
      </w:r>
      <w:r w:rsidR="007F6EE9" w:rsidRPr="008F4041">
        <w:rPr>
          <w:rFonts w:ascii="Calibri" w:hAnsi="Calibri" w:cs="Calibri"/>
          <w:sz w:val="22"/>
          <w:lang w:val="en-GB"/>
        </w:rPr>
        <w:t>&lt; 0.05 vs. RFP+MI</w:t>
      </w:r>
      <w:bookmarkEnd w:id="6"/>
      <w:r w:rsidR="007F6EE9" w:rsidRPr="008F4041">
        <w:rPr>
          <w:rFonts w:ascii="Calibri" w:hAnsi="Calibri" w:cs="Calibri"/>
          <w:sz w:val="22"/>
          <w:lang w:val="en-GB"/>
        </w:rPr>
        <w:t>,</w:t>
      </w:r>
      <w:r w:rsidR="007F6EE9">
        <w:rPr>
          <w:rFonts w:ascii="Calibri" w:hAnsi="Calibri" w:cs="Calibri"/>
          <w:sz w:val="22"/>
          <w:lang w:val="en-GB"/>
        </w:rPr>
        <w:t xml:space="preserve"> </w:t>
      </w:r>
      <w:r w:rsidRPr="008F4041">
        <w:rPr>
          <w:rFonts w:ascii="Calibri" w:hAnsi="Calibri" w:cs="Calibri"/>
          <w:sz w:val="22"/>
          <w:lang w:val="en-GB"/>
        </w:rPr>
        <w:t xml:space="preserve">Data are presented as the means </w:t>
      </w:r>
      <w:r w:rsidRPr="008F4041">
        <w:rPr>
          <w:rFonts w:ascii="Arial" w:hAnsi="Arial" w:cs="Arial"/>
          <w:sz w:val="24"/>
          <w:szCs w:val="24"/>
          <w:lang w:val="en-GB"/>
        </w:rPr>
        <w:t>±</w:t>
      </w:r>
      <w:r w:rsidRPr="008F4041">
        <w:rPr>
          <w:rFonts w:ascii="Calibri" w:hAnsi="Calibri" w:cs="Calibri"/>
          <w:sz w:val="22"/>
          <w:lang w:val="en-GB"/>
        </w:rPr>
        <w:t>SEM.</w:t>
      </w:r>
    </w:p>
    <w:sectPr w:rsidR="00F54244" w:rsidRPr="00B1079F" w:rsidSect="00572A99">
      <w:footerReference w:type="default" r:id="rId1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7A64" w14:textId="77777777" w:rsidR="00810D03" w:rsidRDefault="00810D03" w:rsidP="00DB497F">
      <w:r>
        <w:separator/>
      </w:r>
    </w:p>
  </w:endnote>
  <w:endnote w:type="continuationSeparator" w:id="0">
    <w:p w14:paraId="2E643753" w14:textId="77777777" w:rsidR="00810D03" w:rsidRDefault="00810D03" w:rsidP="00DB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713997"/>
      <w:docPartObj>
        <w:docPartGallery w:val="Page Numbers (Bottom of Page)"/>
        <w:docPartUnique/>
      </w:docPartObj>
    </w:sdtPr>
    <w:sdtEndPr/>
    <w:sdtContent>
      <w:p w14:paraId="5A5031FC" w14:textId="2D71584F" w:rsidR="00B43C3C" w:rsidRDefault="00B43C3C">
        <w:pPr>
          <w:pStyle w:val="a5"/>
          <w:jc w:val="right"/>
        </w:pPr>
        <w:r>
          <w:fldChar w:fldCharType="begin"/>
        </w:r>
        <w:r>
          <w:instrText>PAGE   \* MERGEFORMAT</w:instrText>
        </w:r>
        <w:r>
          <w:fldChar w:fldCharType="separate"/>
        </w:r>
        <w:r>
          <w:rPr>
            <w:lang w:val="zh-CN"/>
          </w:rPr>
          <w:t>2</w:t>
        </w:r>
        <w:r>
          <w:fldChar w:fldCharType="end"/>
        </w:r>
      </w:p>
    </w:sdtContent>
  </w:sdt>
  <w:p w14:paraId="5C7DF417" w14:textId="77777777" w:rsidR="00B43C3C" w:rsidRDefault="00B43C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23C2F" w14:textId="77777777" w:rsidR="00810D03" w:rsidRDefault="00810D03" w:rsidP="00DB497F">
      <w:r>
        <w:separator/>
      </w:r>
    </w:p>
  </w:footnote>
  <w:footnote w:type="continuationSeparator" w:id="0">
    <w:p w14:paraId="24174B1C" w14:textId="77777777" w:rsidR="00810D03" w:rsidRDefault="00810D03" w:rsidP="00DB4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90412"/>
    <w:multiLevelType w:val="multilevel"/>
    <w:tmpl w:val="2D881C8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39B92859-D827-466D-B94E-B136AE771864}" w:val=" ADDIN NE.Ref.{39B92859-D827-466D-B94E-B136AE771864}&lt;Citation&gt;&lt;Group&gt;&lt;References&gt;&lt;Item&gt;&lt;ID&gt;133&lt;/ID&gt;&lt;UID&gt;{5B3A6727-0EAC-49F4-9271-6D5F7129A07D}&lt;/UID&gt;&lt;Title&gt;Glucagon-like peptide-1 ameliorates cardiac lipotoxicity in diabetic cardiomyopathy via the PPARalpha pathway&lt;/Title&gt;&lt;Template&gt;Journal Article&lt;/Template&gt;&lt;Star&gt;0&lt;/Star&gt;&lt;Tag&gt;0&lt;/Tag&gt;&lt;Author&gt;Wu, L; Wang, K; Wang, W; Wen, Z; Wang, P; Liu, L; Wang, D W&lt;/Author&gt;&lt;Year&gt;2018&lt;/Year&gt;&lt;Details&gt;&lt;_accession_num&gt;29659121&lt;/_accession_num&gt;&lt;_author_adr&gt;Division of Cardiology, Department of Internal Medicine, Tongji Hospital, Tongji  Medical College, Huazhong University of Science and Technology, Wuhan, China.; Hubei Key Laboratory of Genetics and Molecular Mechanism of Cardiologic Disorders, Wuhan, China.; Department of Neonatal Medicine, The Central Hospital of Wuhan, Tongji Medical College, Huazhong University of Science and Technology, Wuhan, China.; Division of Cardiology, Department of Internal Medicine, Tongji Hospital, Tongji  Medical College, Huazhong University of Science and Technology, Wuhan, China.; Hubei Key Laboratory of Genetics and Molecular Mechanism of Cardiologic Disorders, Wuhan, China.; Division of Cardiology, Department of Internal Medicine, Tongji Hospital, Tongji  Medical College, Huazhong University of Science and Technology, Wuhan, China.; Hubei Key Laboratory of Genetics and Molecular Mechanism of Cardiologic Disorders, Wuhan, China.; Division of Cardiology, Department of Internal Medicine, Tongji Hospital, Tongji  Medical College, Huazhong University of Science and Technology, Wuhan, China.; Hubei Key Laboratory of Genetics and Molecular Mechanism of Cardiologic Disorders, Wuhan, China.; Division of Cardiology, Department of Internal Medicine, Tongji Hospital, Tongji  Medical College, Huazhong University of Science and Technology, Wuhan, China.; Hubei Key Laboratory of Genetics and Molecular Mechanism of Cardiologic Disorders, Wuhan, China.; Division of Cardiology, Department of Internal Medicine, Tongji Hospital, Tongji  Medical College, Huazhong University of Science and Technology, Wuhan, China.; Hubei Key Laboratory of Genetics and Molecular Mechanism of Cardiologic Disorders, Wuhan, China.&lt;/_author_adr&gt;&lt;_collection_scope&gt;SCIE&lt;/_collection_scope&gt;&lt;_created&gt;62930146&lt;/_created&gt;&lt;_date&gt;2018-08-01&lt;/_date&gt;&lt;_date_display&gt;2018 Aug&lt;/_date_display&gt;&lt;_db_updated&gt;PubMed&lt;/_db_updated&gt;&lt;_doi&gt;10.1111/acel.12763&lt;/_doi&gt;&lt;_impact_factor&gt;   7.346&lt;/_impact_factor&gt;&lt;_isbn&gt;1474-9726 (Electronic); 1474-9718 (Linking)&lt;/_isbn&gt;&lt;_issue&gt;4&lt;/_issue&gt;&lt;_journal&gt;Aging Cell&lt;/_journal&gt;&lt;_keywords&gt;*DPP-4; *GLP-1; *PPARalpha; *apoptosis; *lipotoxicity cardiomyopathy&lt;/_keywords&gt;&lt;_language&gt;eng&lt;/_language&gt;&lt;_modified&gt;62930146&lt;/_modified&gt;&lt;_ori_publication&gt;(c) 2018 The Authors. Aging Cell published by the Anatomical Society and John_x000d__x000a_      Wiley &amp;amp;amp; Sons Ltd.&lt;/_ori_publication&gt;&lt;_pages&gt;e12763&lt;/_pages&gt;&lt;_tertiary_title&gt;Aging cell&lt;/_tertiary_title&gt;&lt;_type_work&gt;Journal Article; Research Support, Non-U.S. Gov&amp;apos;t&lt;/_type_work&gt;&lt;_url&gt;http://www.ncbi.nlm.nih.gov/entrez/query.fcgi?cmd=Retrieve&amp;amp;db=pubmed&amp;amp;dopt=Abstract&amp;amp;list_uids=29659121&amp;amp;query_hl=1&lt;/_url&gt;&lt;_volume&gt;17&lt;/_volume&gt;&lt;/Details&gt;&lt;Extra&gt;&lt;DBUID&gt;{96C5409F-8D38-4957-A65F-0745F350E1FB}&lt;/DBUID&gt;&lt;/Extra&gt;&lt;/Item&gt;&lt;/References&gt;&lt;/Group&gt;&lt;/Citation&gt;_x000a_"/>
    <w:docVar w:name="NE.Ref{A100D783-2371-414C-878F-E3A2D66C6F9C}" w:val=" ADDIN NE.Ref.{A100D783-2371-414C-878F-E3A2D66C6F9C}&lt;Citation&gt;&lt;Group&gt;&lt;References&gt;&lt;Item&gt;&lt;ID&gt;91&lt;/ID&gt;&lt;UID&gt;{D548E0EA-BBBC-45E9-BE87-042EEAE2D8E8}&lt;/UID&gt;&lt;Title&gt;Cardiac S100A1 protein levels determine contractile performance and propensity toward heart failure after myocardial infarction&lt;/Title&gt;&lt;Template&gt;Journal Article&lt;/Template&gt;&lt;Star&gt;0&lt;/Star&gt;&lt;Tag&gt;0&lt;/Tag&gt;&lt;Author&gt;Most, P; Seifert, H; Gao, E; Funakoshi, H; Volkers, M; Heierhorst, J; Remppis, A; Pleger, S T; DeGeorge, BR Jr; Eckhart, A D; Feldman, A M; Koch, W J&lt;/Author&gt;&lt;Year&gt;2006&lt;/Year&gt;&lt;Details&gt;&lt;_accession_num&gt;16952982&lt;/_accession_num&gt;&lt;_author_adr&gt;Center for Translational Medicine, Department of Medicine, Thomas Jefferson University, Philadelphia, PA 19107, USA. patrick.most@jefferson.edu&lt;/_author_adr&gt;&lt;_collection_scope&gt;SCI;SCIE&lt;/_collection_scope&gt;&lt;_created&gt;62817692&lt;/_created&gt;&lt;_date&gt;2006-09-19&lt;/_date&gt;&lt;_date_display&gt;2006 Sep 19&lt;/_date_display&gt;&lt;_db_updated&gt;PubMed&lt;/_db_updated&gt;&lt;_doi&gt;10.1161/CIRCULATIONAHA.106.622415&lt;/_doi&gt;&lt;_impact_factor&gt;  18.880&lt;/_impact_factor&gt;&lt;_isbn&gt;1524-4539 (Electronic); 0009-7322 (Linking)&lt;/_isbn&gt;&lt;_issue&gt;12&lt;/_issue&gt;&lt;_journal&gt;Circulation&lt;/_journal&gt;&lt;_keywords&gt;Animals; Apoptosis/physiology; Calcium-Transporting ATPases/genetics/metabolism; Cardiac Output, Low/etiology/*physiopathology/prevention &amp;amp;amp; control; Cyclic AMP/physiology; Disease Progression; Down-Regulation; GTP-Binding Protein alpha Subunits, Gs/physiology; Mice; Mice, Knockout; Mice, Transgenic; Myocardial Contraction/genetics/*physiology; Myocardial Infarction/complications/pathology/*physiopathology; Myocardium/*metabolism/pathology; RNA, Messenger/genetics/metabolism; Receptors, Adrenergic, beta/physiology; S100 Proteins/genetics/*metabolism; Sarcoplasmic Reticulum Calcium-Transporting ATPases; Ventricular Remodeling/physiology&lt;/_keywords&gt;&lt;_language&gt;eng&lt;/_language&gt;&lt;_modified&gt;62817696&lt;/_modified&gt;&lt;_pages&gt;1258-68&lt;/_pages&gt;&lt;_tertiary_title&gt;Circulation&lt;/_tertiary_title&gt;&lt;_type_work&gt;Journal Article; Research Support, N.I.H., Extramural; Research Support, Non-U.S. Gov&amp;apos;t&lt;/_type_work&gt;&lt;_url&gt;http://www.ncbi.nlm.nih.gov/entrez/query.fcgi?cmd=Retrieve&amp;amp;db=pubmed&amp;amp;dopt=Abstract&amp;amp;list_uids=16952982&amp;amp;query_hl=1&lt;/_url&gt;&lt;_volume&gt;114&lt;/_volume&gt;&lt;/Details&gt;&lt;Extra&gt;&lt;DBUID&gt;{96C5409F-8D38-4957-A65F-0745F350E1FB}&lt;/DBUID&gt;&lt;/Extra&gt;&lt;/Item&gt;&lt;/References&gt;&lt;/Group&gt;&lt;/Citation&gt;_x000a_"/>
    <w:docVar w:name="ne_stylename" w:val="Cardiology"/>
  </w:docVars>
  <w:rsids>
    <w:rsidRoot w:val="00867BE5"/>
    <w:rsid w:val="00004297"/>
    <w:rsid w:val="00037E0A"/>
    <w:rsid w:val="001B0162"/>
    <w:rsid w:val="00493EAA"/>
    <w:rsid w:val="00572A99"/>
    <w:rsid w:val="00646BE1"/>
    <w:rsid w:val="006D537A"/>
    <w:rsid w:val="00720622"/>
    <w:rsid w:val="007742C0"/>
    <w:rsid w:val="007F6EE9"/>
    <w:rsid w:val="00810D03"/>
    <w:rsid w:val="00867BE5"/>
    <w:rsid w:val="0088041C"/>
    <w:rsid w:val="00943DAF"/>
    <w:rsid w:val="00983533"/>
    <w:rsid w:val="00987099"/>
    <w:rsid w:val="00A041B4"/>
    <w:rsid w:val="00B1079F"/>
    <w:rsid w:val="00B211D8"/>
    <w:rsid w:val="00B36F53"/>
    <w:rsid w:val="00B43C3C"/>
    <w:rsid w:val="00B51DAE"/>
    <w:rsid w:val="00C10996"/>
    <w:rsid w:val="00C50BE7"/>
    <w:rsid w:val="00C945C3"/>
    <w:rsid w:val="00DB497F"/>
    <w:rsid w:val="00DB695A"/>
    <w:rsid w:val="00E11A64"/>
    <w:rsid w:val="00EA3B6F"/>
    <w:rsid w:val="00EB4F1D"/>
    <w:rsid w:val="00ED09CC"/>
    <w:rsid w:val="00EF3BB2"/>
    <w:rsid w:val="00F46F5D"/>
    <w:rsid w:val="00F54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941BF"/>
  <w15:chartTrackingRefBased/>
  <w15:docId w15:val="{D23C05F2-C4DF-4512-9D31-76E8F5C2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497F"/>
    <w:pPr>
      <w:widowControl w:val="0"/>
      <w:jc w:val="both"/>
    </w:pPr>
  </w:style>
  <w:style w:type="paragraph" w:styleId="3">
    <w:name w:val="heading 3"/>
    <w:basedOn w:val="a"/>
    <w:next w:val="a"/>
    <w:link w:val="30"/>
    <w:uiPriority w:val="9"/>
    <w:semiHidden/>
    <w:unhideWhenUsed/>
    <w:qFormat/>
    <w:rsid w:val="00B51DAE"/>
    <w:pPr>
      <w:keepNext/>
      <w:keepLines/>
      <w:spacing w:before="260" w:after="260" w:line="416" w:lineRule="auto"/>
      <w:outlineLvl w:val="2"/>
    </w:pPr>
    <w:rPr>
      <w:b/>
      <w:bCs/>
      <w:sz w:val="32"/>
      <w:szCs w:val="32"/>
    </w:rPr>
  </w:style>
  <w:style w:type="paragraph" w:styleId="6">
    <w:name w:val="heading 6"/>
    <w:basedOn w:val="a"/>
    <w:next w:val="a"/>
    <w:link w:val="60"/>
    <w:uiPriority w:val="9"/>
    <w:semiHidden/>
    <w:unhideWhenUsed/>
    <w:qFormat/>
    <w:rsid w:val="00B51DAE"/>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49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B497F"/>
    <w:rPr>
      <w:sz w:val="18"/>
      <w:szCs w:val="18"/>
    </w:rPr>
  </w:style>
  <w:style w:type="paragraph" w:styleId="a5">
    <w:name w:val="footer"/>
    <w:basedOn w:val="a"/>
    <w:link w:val="a6"/>
    <w:uiPriority w:val="99"/>
    <w:unhideWhenUsed/>
    <w:rsid w:val="00DB497F"/>
    <w:pPr>
      <w:tabs>
        <w:tab w:val="center" w:pos="4153"/>
        <w:tab w:val="right" w:pos="8306"/>
      </w:tabs>
      <w:snapToGrid w:val="0"/>
      <w:jc w:val="left"/>
    </w:pPr>
    <w:rPr>
      <w:sz w:val="18"/>
      <w:szCs w:val="18"/>
    </w:rPr>
  </w:style>
  <w:style w:type="character" w:customStyle="1" w:styleId="a6">
    <w:name w:val="页脚 字符"/>
    <w:basedOn w:val="a0"/>
    <w:link w:val="a5"/>
    <w:uiPriority w:val="99"/>
    <w:rsid w:val="00DB497F"/>
    <w:rPr>
      <w:sz w:val="18"/>
      <w:szCs w:val="18"/>
    </w:rPr>
  </w:style>
  <w:style w:type="paragraph" w:styleId="a7">
    <w:name w:val="List Paragraph"/>
    <w:basedOn w:val="a"/>
    <w:uiPriority w:val="34"/>
    <w:qFormat/>
    <w:rsid w:val="00DB497F"/>
    <w:pPr>
      <w:ind w:firstLineChars="200" w:firstLine="420"/>
    </w:pPr>
  </w:style>
  <w:style w:type="character" w:customStyle="1" w:styleId="30">
    <w:name w:val="标题 3 字符"/>
    <w:basedOn w:val="a0"/>
    <w:link w:val="3"/>
    <w:uiPriority w:val="9"/>
    <w:semiHidden/>
    <w:rsid w:val="00B51DAE"/>
    <w:rPr>
      <w:b/>
      <w:bCs/>
      <w:sz w:val="32"/>
      <w:szCs w:val="32"/>
    </w:rPr>
  </w:style>
  <w:style w:type="character" w:customStyle="1" w:styleId="60">
    <w:name w:val="标题 6 字符"/>
    <w:basedOn w:val="a0"/>
    <w:link w:val="6"/>
    <w:uiPriority w:val="9"/>
    <w:semiHidden/>
    <w:rsid w:val="00B51DAE"/>
    <w:rPr>
      <w:rFonts w:asciiTheme="majorHAnsi" w:eastAsiaTheme="majorEastAsia" w:hAnsiTheme="majorHAnsi" w:cstheme="majorBidi"/>
      <w:b/>
      <w:bCs/>
      <w:sz w:val="24"/>
      <w:szCs w:val="24"/>
    </w:rPr>
  </w:style>
  <w:style w:type="paragraph" w:styleId="a8">
    <w:name w:val="Normal (Web)"/>
    <w:basedOn w:val="a"/>
    <w:uiPriority w:val="99"/>
    <w:semiHidden/>
    <w:unhideWhenUsed/>
    <w:rsid w:val="00B51DAE"/>
    <w:rPr>
      <w:rFonts w:ascii="Times New Roman" w:hAnsi="Times New Roman" w:cs="Times New Roman"/>
      <w:sz w:val="24"/>
      <w:szCs w:val="24"/>
    </w:rPr>
  </w:style>
  <w:style w:type="character" w:styleId="a9">
    <w:name w:val="Hyperlink"/>
    <w:basedOn w:val="a0"/>
    <w:uiPriority w:val="99"/>
    <w:unhideWhenUsed/>
    <w:rsid w:val="00B51DAE"/>
    <w:rPr>
      <w:color w:val="0563C1" w:themeColor="hyperlink"/>
      <w:u w:val="single"/>
    </w:rPr>
  </w:style>
  <w:style w:type="character" w:styleId="aa">
    <w:name w:val="annotation reference"/>
    <w:basedOn w:val="a0"/>
    <w:uiPriority w:val="99"/>
    <w:semiHidden/>
    <w:unhideWhenUsed/>
    <w:rsid w:val="00B51DAE"/>
    <w:rPr>
      <w:sz w:val="21"/>
      <w:szCs w:val="21"/>
    </w:rPr>
  </w:style>
  <w:style w:type="paragraph" w:styleId="ab">
    <w:name w:val="annotation text"/>
    <w:basedOn w:val="a"/>
    <w:link w:val="ac"/>
    <w:uiPriority w:val="99"/>
    <w:semiHidden/>
    <w:unhideWhenUsed/>
    <w:rsid w:val="00B51DAE"/>
    <w:pPr>
      <w:jc w:val="left"/>
    </w:pPr>
  </w:style>
  <w:style w:type="character" w:customStyle="1" w:styleId="ac">
    <w:name w:val="批注文字 字符"/>
    <w:basedOn w:val="a0"/>
    <w:link w:val="ab"/>
    <w:uiPriority w:val="99"/>
    <w:semiHidden/>
    <w:rsid w:val="00B51DAE"/>
  </w:style>
  <w:style w:type="paragraph" w:styleId="ad">
    <w:name w:val="Balloon Text"/>
    <w:basedOn w:val="a"/>
    <w:link w:val="ae"/>
    <w:uiPriority w:val="99"/>
    <w:semiHidden/>
    <w:unhideWhenUsed/>
    <w:rsid w:val="00B51DAE"/>
    <w:rPr>
      <w:sz w:val="18"/>
      <w:szCs w:val="18"/>
    </w:rPr>
  </w:style>
  <w:style w:type="character" w:customStyle="1" w:styleId="ae">
    <w:name w:val="批注框文本 字符"/>
    <w:basedOn w:val="a0"/>
    <w:link w:val="ad"/>
    <w:uiPriority w:val="99"/>
    <w:semiHidden/>
    <w:rsid w:val="00B51DAE"/>
    <w:rPr>
      <w:sz w:val="18"/>
      <w:szCs w:val="18"/>
    </w:rPr>
  </w:style>
  <w:style w:type="character" w:styleId="af">
    <w:name w:val="line number"/>
    <w:basedOn w:val="a0"/>
    <w:uiPriority w:val="99"/>
    <w:semiHidden/>
    <w:unhideWhenUsed/>
    <w:rsid w:val="0057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wswangyan@tjh.tjmu.edu.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engz2003@163.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707</Words>
  <Characters>4035</Characters>
  <Application>Microsoft Office Word</Application>
  <DocSecurity>0</DocSecurity>
  <Lines>33</Lines>
  <Paragraphs>9</Paragraphs>
  <ScaleCrop>false</ScaleCrop>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titan</dc:creator>
  <cp:keywords/>
  <dc:description>NE.Rep</dc:description>
  <cp:lastModifiedBy>zhang titan</cp:lastModifiedBy>
  <cp:revision>23</cp:revision>
  <dcterms:created xsi:type="dcterms:W3CDTF">2019-11-12T05:10:00Z</dcterms:created>
  <dcterms:modified xsi:type="dcterms:W3CDTF">2019-11-14T04:32:00Z</dcterms:modified>
</cp:coreProperties>
</file>