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72" w:rsidRPr="006608C4" w:rsidRDefault="005B1272" w:rsidP="005B1272">
      <w:pPr>
        <w:spacing w:line="480" w:lineRule="auto"/>
        <w:rPr>
          <w:b/>
        </w:rPr>
      </w:pPr>
      <w:r>
        <w:rPr>
          <w:b/>
        </w:rPr>
        <w:t xml:space="preserve">Materials </w:t>
      </w:r>
      <w:r w:rsidR="00F770BF">
        <w:rPr>
          <w:b/>
        </w:rPr>
        <w:t>and</w:t>
      </w:r>
      <w:r>
        <w:rPr>
          <w:b/>
        </w:rPr>
        <w:t xml:space="preserve"> Methods</w:t>
      </w:r>
    </w:p>
    <w:p w:rsidR="005B1272" w:rsidRDefault="005B1272" w:rsidP="005B1272">
      <w:pPr>
        <w:spacing w:line="480" w:lineRule="auto"/>
      </w:pPr>
      <w:r>
        <w:t>We performed a retrospective review of medical records of patients prescribed isotretinoin for the treatment of acne from January 1, 2008</w:t>
      </w:r>
      <w:r w:rsidR="00F770BF">
        <w:t>,</w:t>
      </w:r>
      <w:r>
        <w:t xml:space="preserve"> to June 1, 2016</w:t>
      </w:r>
      <w:r w:rsidR="00F770BF">
        <w:t>,</w:t>
      </w:r>
      <w:r>
        <w:t xml:space="preserve"> at Brigham </w:t>
      </w:r>
      <w:r w:rsidR="00131869">
        <w:t>and</w:t>
      </w:r>
      <w:r>
        <w:t xml:space="preserve"> Women’s Hospital and Massachusetts General Hospital. Charts were identified using the Research Patient Data Repository, a clinical data registry of all patients seen at Partners Healthcare, as previously described</w:t>
      </w:r>
      <w:r w:rsidR="00F770BF">
        <w:t xml:space="preserve"> [</w:t>
      </w:r>
      <w:r w:rsidRPr="00F770BF">
        <w:rPr>
          <w:rFonts w:ascii="Calibri" w:cs="Calibri"/>
        </w:rPr>
        <w:t>7</w:t>
      </w:r>
      <w:r w:rsidR="00F770BF">
        <w:rPr>
          <w:rFonts w:ascii="Calibri" w:cs="Calibri"/>
        </w:rPr>
        <w:t>].</w:t>
      </w:r>
      <w:r>
        <w:t xml:space="preserve"> Each record was reviewed manually</w:t>
      </w:r>
      <w:r w:rsidR="00F770BF">
        <w:t>,</w:t>
      </w:r>
      <w:r>
        <w:t xml:space="preserve"> and demographic data, including sex, race, ethnicity and weight, wer</w:t>
      </w:r>
      <w:bookmarkStart w:id="0" w:name="_GoBack"/>
      <w:bookmarkEnd w:id="0"/>
      <w:r>
        <w:t xml:space="preserve">e extracted. </w:t>
      </w:r>
    </w:p>
    <w:p w:rsidR="005B1272" w:rsidRDefault="005B1272" w:rsidP="005B1272">
      <w:pPr>
        <w:spacing w:line="480" w:lineRule="auto"/>
      </w:pPr>
    </w:p>
    <w:p w:rsidR="005B1272" w:rsidRDefault="005B1272" w:rsidP="005B1272">
      <w:pPr>
        <w:spacing w:line="480" w:lineRule="auto"/>
      </w:pPr>
      <w:r>
        <w:t>Monitoring laboratory tests obtained during treatment were recorded. Clinical notes were reviewed to determine total dose of isotretinoin (mg/kg), treatment duration, and reasons for and occurrence of treatment modification, defined as interruption or early termination. Interruptions were defined as physician, nursing, or patient documentation of a medication interruption of 28 or more days, followed by resumption of treatment without starting a new cycle. Early termination was defined as discontinuation of treatment prior to achieving optimal weight-based dosing of 120 mg/kg</w:t>
      </w:r>
      <w:r w:rsidR="00F770BF">
        <w:t xml:space="preserve"> [8]</w:t>
      </w:r>
      <w:r>
        <w:t>.</w:t>
      </w:r>
    </w:p>
    <w:p w:rsidR="005B1272" w:rsidRDefault="005B1272" w:rsidP="005B1272">
      <w:pPr>
        <w:spacing w:line="480" w:lineRule="auto"/>
      </w:pPr>
    </w:p>
    <w:p w:rsidR="005B1272" w:rsidRDefault="005B1272" w:rsidP="005B1272">
      <w:pPr>
        <w:spacing w:line="480" w:lineRule="auto"/>
      </w:pPr>
      <w:r>
        <w:t>Grading of abnormalities was defined by the National Cancer Institute Common Terminology Criteria for Adverse Events</w:t>
      </w:r>
      <w:r w:rsidRPr="004165A2">
        <w:t xml:space="preserve"> </w:t>
      </w:r>
      <w:r>
        <w:t>as in prior literature</w:t>
      </w:r>
      <w:r w:rsidR="00F770BF">
        <w:t xml:space="preserve"> [</w:t>
      </w:r>
      <w:r w:rsidRPr="00F770BF">
        <w:rPr>
          <w:rFonts w:ascii="Calibri" w:cs="Calibri"/>
        </w:rPr>
        <w:t>6,</w:t>
      </w:r>
      <w:r w:rsidR="00F770BF">
        <w:rPr>
          <w:rFonts w:ascii="Calibri" w:cs="Calibri"/>
        </w:rPr>
        <w:t xml:space="preserve"> </w:t>
      </w:r>
      <w:r w:rsidRPr="00F770BF">
        <w:rPr>
          <w:rFonts w:ascii="Calibri" w:cs="Calibri"/>
        </w:rPr>
        <w:t>9</w:t>
      </w:r>
      <w:r w:rsidR="00F770BF">
        <w:rPr>
          <w:rFonts w:ascii="Calibri" w:cs="Calibri"/>
        </w:rPr>
        <w:t>].</w:t>
      </w:r>
      <w:r>
        <w:t xml:space="preserve"> Patients with a </w:t>
      </w:r>
      <w:r w:rsidR="00F770BF">
        <w:t>g</w:t>
      </w:r>
      <w:r>
        <w:t xml:space="preserve">rade 1 or above laboratory abnormality on baseline evaluation prior to isotretinoin initiation were identified. For patients who then modified treatment as a result of lab abnormalities during treatment, further chart review was performed to ascertain precise reasons for changes in management and relevant comorbidities. </w:t>
      </w:r>
    </w:p>
    <w:p w:rsidR="005B1272" w:rsidRDefault="005B1272" w:rsidP="005B1272">
      <w:pPr>
        <w:spacing w:line="480" w:lineRule="auto"/>
      </w:pPr>
    </w:p>
    <w:p w:rsidR="005B1272" w:rsidRPr="00732416" w:rsidRDefault="005B1272" w:rsidP="005B1272">
      <w:pPr>
        <w:spacing w:line="480" w:lineRule="auto"/>
      </w:pPr>
      <w:r>
        <w:lastRenderedPageBreak/>
        <w:t>Descriptive statistics were calculated for patient characteristics. Continuous variables were summarized using mean and standard deviation</w:t>
      </w:r>
      <w:r w:rsidR="00F770BF">
        <w:t>,</w:t>
      </w:r>
      <w:r>
        <w:t xml:space="preserve"> and categorical variables were presented as percentages. This project was approved by the Partners Healthcare Institutional Review Board.</w:t>
      </w:r>
    </w:p>
    <w:p w:rsidR="005947DE" w:rsidRDefault="005947DE"/>
    <w:sectPr w:rsidR="00594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72"/>
    <w:rsid w:val="000879CA"/>
    <w:rsid w:val="00131869"/>
    <w:rsid w:val="005947DE"/>
    <w:rsid w:val="005B1272"/>
    <w:rsid w:val="00F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1A3D5"/>
  <w15:chartTrackingRefBased/>
  <w15:docId w15:val="{25848A35-A200-41CF-93A1-F3307A0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272"/>
    <w:pPr>
      <w:spacing w:after="0" w:line="240" w:lineRule="auto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4</cp:revision>
  <dcterms:created xsi:type="dcterms:W3CDTF">2019-12-17T13:54:00Z</dcterms:created>
  <dcterms:modified xsi:type="dcterms:W3CDTF">2020-01-23T09:43:00Z</dcterms:modified>
</cp:coreProperties>
</file>