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D1AD8" w14:textId="7A1331D9" w:rsidR="00B75F9C" w:rsidRPr="00B75F9C" w:rsidRDefault="00B75F9C" w:rsidP="00B75F9C">
      <w:pPr>
        <w:ind w:firstLine="0"/>
        <w:rPr>
          <w:b/>
        </w:rPr>
      </w:pPr>
      <w:r w:rsidRPr="00B75F9C">
        <w:rPr>
          <w:b/>
        </w:rPr>
        <w:t>TABLES</w:t>
      </w:r>
    </w:p>
    <w:p w14:paraId="03A8B422" w14:textId="77777777" w:rsidR="00B75F9C" w:rsidRDefault="00B75F9C"/>
    <w:tbl>
      <w:tblPr>
        <w:tblW w:w="0" w:type="auto"/>
        <w:tblInd w:w="-118" w:type="dxa"/>
        <w:tblLayout w:type="fixed"/>
        <w:tblLook w:val="0000" w:firstRow="0" w:lastRow="0" w:firstColumn="0" w:lastColumn="0" w:noHBand="0" w:noVBand="0"/>
      </w:tblPr>
      <w:tblGrid>
        <w:gridCol w:w="2237"/>
        <w:gridCol w:w="2551"/>
        <w:gridCol w:w="2268"/>
        <w:gridCol w:w="1276"/>
      </w:tblGrid>
      <w:tr w:rsidR="00D6006F" w:rsidRPr="005519BE" w14:paraId="6DB73492" w14:textId="77777777" w:rsidTr="00025E3F">
        <w:tc>
          <w:tcPr>
            <w:tcW w:w="8332" w:type="dxa"/>
            <w:gridSpan w:val="4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E4B9C2" w14:textId="17A41DEA" w:rsidR="00D6006F" w:rsidRPr="005519BE" w:rsidRDefault="00D6006F" w:rsidP="00771DE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</w:t>
            </w: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Table</w:t>
            </w:r>
            <w:proofErr w:type="gramEnd"/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1. 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Baseline characteristics of</w:t>
            </w:r>
            <w:r w:rsidR="00771DE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the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1DE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first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1DE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circuit used for each patient, based</w:t>
            </w:r>
            <w:r w:rsidR="00771DE6" w:rsidRPr="005F19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71DE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on 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CRRT mode</w:t>
            </w:r>
            <w:r w:rsidRPr="005519BE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006F" w:rsidRPr="005519BE" w14:paraId="21E0C432" w14:textId="77777777" w:rsidTr="00025E3F"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868B0DD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Variables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55D07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CVVHD</w:t>
            </w:r>
          </w:p>
          <w:p w14:paraId="1E2A8E2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N=25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CB88C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CVVH</w:t>
            </w:r>
          </w:p>
          <w:p w14:paraId="5460C42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N=14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51D83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 value</w:t>
            </w:r>
          </w:p>
        </w:tc>
      </w:tr>
      <w:tr w:rsidR="00D6006F" w:rsidRPr="005519BE" w14:paraId="65D40205" w14:textId="77777777" w:rsidTr="00025E3F">
        <w:tc>
          <w:tcPr>
            <w:tcW w:w="2237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3829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Age (years)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4A455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63 [55; 70]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1186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58.5 [49; 67.5]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F3461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0.41</w:t>
            </w:r>
          </w:p>
        </w:tc>
      </w:tr>
      <w:tr w:rsidR="00D6006F" w:rsidRPr="005519BE" w14:paraId="762C6500" w14:textId="77777777" w:rsidTr="00025E3F"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5E5FB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Gender (male)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AF0E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12 (48%)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7DC2E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8 (57%)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68EAD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0.74</w:t>
            </w:r>
          </w:p>
        </w:tc>
      </w:tr>
      <w:tr w:rsidR="00D6006F" w:rsidRPr="005519BE" w14:paraId="6FC256C2" w14:textId="77777777" w:rsidTr="00025E3F"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BAF4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Weight (kg)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EF2D0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84.5 [68.5; 96.2]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E316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65.8 [57.0; 85.0]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A963C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0.07</w:t>
            </w:r>
          </w:p>
        </w:tc>
      </w:tr>
      <w:tr w:rsidR="00D6006F" w:rsidRPr="005519BE" w14:paraId="643D2CB4" w14:textId="77777777" w:rsidTr="00025E3F">
        <w:trPr>
          <w:trHeight w:val="324"/>
        </w:trPr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73DF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APACHE II score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60554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22 [18; 27]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4D2B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21 [18; 22]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03D63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0.66</w:t>
            </w:r>
          </w:p>
        </w:tc>
      </w:tr>
      <w:tr w:rsidR="00D6006F" w:rsidRPr="005519BE" w14:paraId="6CC94094" w14:textId="77777777" w:rsidTr="00025E3F"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E8EED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APACHE III score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1FE588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45 [36; 50]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B55F0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49 [37; 57]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0C955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0.44</w:t>
            </w:r>
          </w:p>
        </w:tc>
      </w:tr>
      <w:tr w:rsidR="00D6006F" w:rsidRPr="005519BE" w14:paraId="113BE6DF" w14:textId="77777777" w:rsidTr="00025E3F"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F6D2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SAPS II score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AF63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79 [66; 93]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36FD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71 [58; 75]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F78F2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0.06</w:t>
            </w:r>
          </w:p>
        </w:tc>
      </w:tr>
      <w:tr w:rsidR="00D6006F" w:rsidRPr="005519BE" w14:paraId="53C118DE" w14:textId="77777777" w:rsidTr="00025E3F"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14BDB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Hemoglobin (g/l)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F425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88.5 [80.2; 100.8]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DF2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82.5 [73.8; 90.2]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E4D1E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0.28</w:t>
            </w:r>
          </w:p>
        </w:tc>
      </w:tr>
      <w:tr w:rsidR="00D6006F" w:rsidRPr="005519BE" w14:paraId="43A10EFD" w14:textId="77777777" w:rsidTr="00025E3F"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3D37E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Platelets (G/l)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35504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127.0 [60.0; 159.0]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54B26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129.5 [69.8; 299.5]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C8BEE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0.36</w:t>
            </w:r>
          </w:p>
        </w:tc>
      </w:tr>
      <w:tr w:rsidR="00D6006F" w:rsidRPr="005519BE" w14:paraId="28230BF0" w14:textId="77777777" w:rsidTr="00025E3F">
        <w:tc>
          <w:tcPr>
            <w:tcW w:w="223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8DE8C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INR</w:t>
            </w:r>
          </w:p>
        </w:tc>
        <w:tc>
          <w:tcPr>
            <w:tcW w:w="255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E642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1.6 [1.4; 2.8]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4BDA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1.4 [1.2; 1.8]</w:t>
            </w:r>
          </w:p>
        </w:tc>
        <w:tc>
          <w:tcPr>
            <w:tcW w:w="127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B896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0.19</w:t>
            </w:r>
          </w:p>
        </w:tc>
      </w:tr>
      <w:tr w:rsidR="00D6006F" w:rsidRPr="005519BE" w14:paraId="72C28601" w14:textId="77777777" w:rsidTr="00025E3F">
        <w:trPr>
          <w:trHeight w:val="393"/>
        </w:trPr>
        <w:tc>
          <w:tcPr>
            <w:tcW w:w="2237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8DAFA8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PTT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(sec)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8A615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44.0 [35.0; 57.0]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85C9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36 [30.2; 44.2]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756C2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0.07</w:t>
            </w:r>
          </w:p>
        </w:tc>
      </w:tr>
      <w:tr w:rsidR="00D6006F" w:rsidRPr="005519BE" w14:paraId="3FD657F1" w14:textId="77777777" w:rsidTr="00025E3F">
        <w:tc>
          <w:tcPr>
            <w:tcW w:w="8332" w:type="dxa"/>
            <w:gridSpan w:val="4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BC7E7" w14:textId="52ADBDE1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D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ata </w:t>
            </w:r>
            <w:proofErr w:type="gramStart"/>
            <w:r w:rsidR="00771DE6">
              <w:rPr>
                <w:rFonts w:ascii="Arial" w:hAnsi="Arial" w:cs="Arial"/>
                <w:color w:val="000000" w:themeColor="text1"/>
                <w:sz w:val="20"/>
                <w:szCs w:val="22"/>
              </w:rPr>
              <w:t>are</w:t>
            </w:r>
            <w:r w:rsidR="0045614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presented</w:t>
            </w:r>
            <w:proofErr w:type="gramEnd"/>
            <w:r w:rsidR="0045614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as median [interquartile range] or count (percentage), and</w:t>
            </w:r>
            <w:r w:rsidR="00456144"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correspond</w:t>
            </w:r>
            <w:r w:rsidR="00456144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  <w:r w:rsidR="00456144"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to that reported with the first circuit used in each included patients. CRRT: continuous renal replacement therapy, CVVH: continuous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veno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-venous hemofiltration; CVVHD: continuous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veno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-venous hemodialysis; INR: international normalized index;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a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PTT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activated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partial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thromboplastin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time.</w:t>
            </w:r>
          </w:p>
          <w:p w14:paraId="1250C65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p values: Fisher’s test for categorical variables, Wilcoxon’s for continuous variables</w:t>
            </w:r>
          </w:p>
        </w:tc>
      </w:tr>
    </w:tbl>
    <w:p w14:paraId="1CF88BF3" w14:textId="77777777" w:rsidR="00B97DEA" w:rsidRDefault="00B97DEA" w:rsidP="00D6006F">
      <w:pPr>
        <w:ind w:firstLine="0"/>
      </w:pPr>
    </w:p>
    <w:p w14:paraId="061DA320" w14:textId="77777777" w:rsidR="00D6006F" w:rsidRDefault="00D6006F" w:rsidP="00D6006F">
      <w:pPr>
        <w:ind w:firstLine="0"/>
      </w:pPr>
    </w:p>
    <w:p w14:paraId="3A07BECB" w14:textId="77777777" w:rsidR="00D6006F" w:rsidRDefault="00D6006F" w:rsidP="00D6006F">
      <w:pPr>
        <w:ind w:firstLine="0"/>
      </w:pPr>
    </w:p>
    <w:p w14:paraId="562F461D" w14:textId="77777777" w:rsidR="00D6006F" w:rsidRDefault="00D6006F" w:rsidP="00D6006F">
      <w:pPr>
        <w:ind w:firstLine="0"/>
      </w:pPr>
    </w:p>
    <w:p w14:paraId="6EA1B49A" w14:textId="77777777" w:rsidR="00D6006F" w:rsidRDefault="00D6006F" w:rsidP="00D6006F">
      <w:pPr>
        <w:ind w:firstLine="0"/>
      </w:pPr>
    </w:p>
    <w:p w14:paraId="4C9A71A1" w14:textId="77777777" w:rsidR="00D6006F" w:rsidRDefault="00D6006F" w:rsidP="00D6006F">
      <w:pPr>
        <w:ind w:firstLine="0"/>
      </w:pPr>
    </w:p>
    <w:p w14:paraId="5C0606BA" w14:textId="77777777" w:rsidR="00D6006F" w:rsidRDefault="00D6006F" w:rsidP="00D6006F">
      <w:pPr>
        <w:ind w:firstLine="0"/>
      </w:pPr>
    </w:p>
    <w:p w14:paraId="6E3CF438" w14:textId="77777777" w:rsidR="00D6006F" w:rsidRDefault="00D6006F" w:rsidP="00D6006F">
      <w:pPr>
        <w:ind w:firstLine="0"/>
      </w:pPr>
    </w:p>
    <w:p w14:paraId="337202B4" w14:textId="77777777" w:rsidR="00D6006F" w:rsidRDefault="00D6006F" w:rsidP="00D6006F">
      <w:pPr>
        <w:ind w:firstLine="0"/>
      </w:pPr>
    </w:p>
    <w:p w14:paraId="37DE7EB2" w14:textId="77777777" w:rsidR="00D6006F" w:rsidRDefault="00D6006F" w:rsidP="00D6006F">
      <w:pPr>
        <w:ind w:firstLine="0"/>
      </w:pPr>
    </w:p>
    <w:p w14:paraId="6DAF3B31" w14:textId="77777777" w:rsidR="00D6006F" w:rsidRDefault="00D6006F" w:rsidP="00D6006F">
      <w:pPr>
        <w:ind w:firstLine="0"/>
      </w:pPr>
    </w:p>
    <w:p w14:paraId="767EC068" w14:textId="77777777" w:rsidR="00D6006F" w:rsidRDefault="00D6006F" w:rsidP="00D6006F">
      <w:pPr>
        <w:ind w:firstLine="0"/>
      </w:pPr>
    </w:p>
    <w:p w14:paraId="77A84E7D" w14:textId="77777777" w:rsidR="00D6006F" w:rsidRDefault="00D6006F" w:rsidP="00D6006F">
      <w:pPr>
        <w:ind w:firstLine="0"/>
      </w:pPr>
    </w:p>
    <w:p w14:paraId="0ED8033B" w14:textId="77777777" w:rsidR="00D6006F" w:rsidRDefault="00D6006F" w:rsidP="00D6006F">
      <w:pPr>
        <w:ind w:firstLine="0"/>
      </w:pPr>
    </w:p>
    <w:p w14:paraId="10009E9E" w14:textId="77777777" w:rsidR="00D6006F" w:rsidRDefault="00D6006F" w:rsidP="00D6006F">
      <w:pPr>
        <w:ind w:firstLine="0"/>
      </w:pPr>
    </w:p>
    <w:p w14:paraId="02D1BF03" w14:textId="77777777" w:rsidR="00D6006F" w:rsidRDefault="00D6006F" w:rsidP="00D6006F">
      <w:pPr>
        <w:ind w:firstLine="0"/>
      </w:pPr>
    </w:p>
    <w:p w14:paraId="43997EA0" w14:textId="77777777" w:rsidR="00D6006F" w:rsidRDefault="00D6006F" w:rsidP="00D6006F">
      <w:pPr>
        <w:ind w:firstLine="0"/>
      </w:pPr>
    </w:p>
    <w:p w14:paraId="729BA43B" w14:textId="77777777" w:rsidR="00D6006F" w:rsidRDefault="00D6006F" w:rsidP="00D6006F">
      <w:pPr>
        <w:ind w:firstLine="0"/>
      </w:pPr>
    </w:p>
    <w:p w14:paraId="57F84FB0" w14:textId="77777777" w:rsidR="00D6006F" w:rsidRPr="005519BE" w:rsidRDefault="00D6006F" w:rsidP="00D6006F">
      <w:pPr>
        <w:ind w:firstLine="0"/>
        <w:rPr>
          <w:rFonts w:ascii="Arial" w:hAnsi="Arial" w:cs="Arial"/>
          <w:color w:val="000000" w:themeColor="text1"/>
        </w:rPr>
      </w:pPr>
      <w:proofErr w:type="gramStart"/>
      <w:r w:rsidRPr="00874E48">
        <w:rPr>
          <w:rFonts w:ascii="Arial" w:hAnsi="Arial" w:cs="Arial"/>
          <w:b/>
          <w:color w:val="000000" w:themeColor="text1"/>
        </w:rPr>
        <w:t>e-Table</w:t>
      </w:r>
      <w:proofErr w:type="gramEnd"/>
      <w:r>
        <w:rPr>
          <w:rFonts w:ascii="Arial" w:hAnsi="Arial" w:cs="Arial"/>
          <w:b/>
          <w:color w:val="000000" w:themeColor="text1"/>
        </w:rPr>
        <w:t xml:space="preserve"> 2</w:t>
      </w:r>
      <w:r>
        <w:rPr>
          <w:rFonts w:ascii="Arial" w:hAnsi="Arial" w:cs="Arial"/>
          <w:color w:val="000000" w:themeColor="text1"/>
        </w:rPr>
        <w:t xml:space="preserve">. Reasons of admission of study patients. </w:t>
      </w:r>
    </w:p>
    <w:p w14:paraId="6C15EE46" w14:textId="77777777" w:rsidR="00D6006F" w:rsidRDefault="00D6006F" w:rsidP="00D6006F">
      <w:pPr>
        <w:ind w:firstLine="0"/>
        <w:rPr>
          <w:lang w:val="fr-FR"/>
        </w:rPr>
      </w:pPr>
      <w:r>
        <w:rPr>
          <w:rFonts w:ascii="Arial" w:hAnsi="Arial" w:cs="Arial"/>
          <w:color w:val="000000" w:themeColor="text1"/>
        </w:rPr>
        <w:fldChar w:fldCharType="begin"/>
      </w:r>
      <w:r>
        <w:rPr>
          <w:rFonts w:ascii="Arial" w:hAnsi="Arial" w:cs="Arial"/>
          <w:color w:val="000000" w:themeColor="text1"/>
        </w:rPr>
        <w:instrText xml:space="preserve"> LINK Excel.Sheet.12 "C:\\Users\\Alfonso\\Desktop\\18.10.31. e-Table_CVVHD_study_ReasonAdmission.xlsx" Foglio1!R1C1:R41C5 \a \f 5 \h  \* MERGEFORMAT </w:instrText>
      </w:r>
      <w:r>
        <w:rPr>
          <w:rFonts w:ascii="Arial" w:hAnsi="Arial" w:cs="Arial"/>
          <w:color w:val="000000" w:themeColor="text1"/>
        </w:rPr>
        <w:fldChar w:fldCharType="separate"/>
      </w:r>
    </w:p>
    <w:tbl>
      <w:tblPr>
        <w:tblStyle w:val="Grigliatabella"/>
        <w:tblW w:w="8598" w:type="dxa"/>
        <w:tblLook w:val="04A0" w:firstRow="1" w:lastRow="0" w:firstColumn="1" w:lastColumn="0" w:noHBand="0" w:noVBand="1"/>
      </w:tblPr>
      <w:tblGrid>
        <w:gridCol w:w="833"/>
        <w:gridCol w:w="5395"/>
        <w:gridCol w:w="828"/>
        <w:gridCol w:w="799"/>
        <w:gridCol w:w="743"/>
      </w:tblGrid>
      <w:tr w:rsidR="00D6006F" w:rsidRPr="00282D8C" w14:paraId="2C6227C5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2062DD61" w14:textId="77777777" w:rsidR="00D6006F" w:rsidRPr="00282D8C" w:rsidRDefault="00D6006F" w:rsidP="00025E3F">
            <w:pPr>
              <w:ind w:firstLine="0"/>
              <w:rPr>
                <w:b/>
                <w:sz w:val="18"/>
                <w:szCs w:val="22"/>
              </w:rPr>
            </w:pPr>
            <w:r w:rsidRPr="00282D8C">
              <w:rPr>
                <w:b/>
                <w:sz w:val="18"/>
                <w:szCs w:val="22"/>
              </w:rPr>
              <w:t>Patient</w:t>
            </w:r>
          </w:p>
        </w:tc>
        <w:tc>
          <w:tcPr>
            <w:tcW w:w="5395" w:type="dxa"/>
            <w:noWrap/>
            <w:hideMark/>
          </w:tcPr>
          <w:p w14:paraId="0BD3A616" w14:textId="77777777" w:rsidR="00D6006F" w:rsidRPr="00282D8C" w:rsidRDefault="00D6006F" w:rsidP="00025E3F">
            <w:pPr>
              <w:ind w:firstLine="0"/>
              <w:rPr>
                <w:b/>
                <w:sz w:val="18"/>
                <w:szCs w:val="22"/>
              </w:rPr>
            </w:pPr>
            <w:r w:rsidRPr="00282D8C">
              <w:rPr>
                <w:b/>
                <w:sz w:val="18"/>
                <w:szCs w:val="22"/>
              </w:rPr>
              <w:t>Reason of admission</w:t>
            </w:r>
          </w:p>
        </w:tc>
        <w:tc>
          <w:tcPr>
            <w:tcW w:w="2370" w:type="dxa"/>
            <w:gridSpan w:val="3"/>
            <w:noWrap/>
            <w:hideMark/>
          </w:tcPr>
          <w:p w14:paraId="51975748" w14:textId="77777777" w:rsidR="00D6006F" w:rsidRPr="00282D8C" w:rsidRDefault="00D6006F" w:rsidP="00025E3F">
            <w:pPr>
              <w:ind w:firstLine="0"/>
              <w:rPr>
                <w:b/>
                <w:sz w:val="18"/>
                <w:szCs w:val="22"/>
              </w:rPr>
            </w:pPr>
            <w:r w:rsidRPr="00282D8C">
              <w:rPr>
                <w:b/>
                <w:sz w:val="18"/>
                <w:szCs w:val="22"/>
              </w:rPr>
              <w:t>Circuits</w:t>
            </w:r>
          </w:p>
          <w:p w14:paraId="35FC555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 </w:t>
            </w:r>
          </w:p>
        </w:tc>
      </w:tr>
      <w:tr w:rsidR="00D6006F" w:rsidRPr="00282D8C" w14:paraId="55D1547C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4C9C898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 </w:t>
            </w:r>
          </w:p>
        </w:tc>
        <w:tc>
          <w:tcPr>
            <w:tcW w:w="5395" w:type="dxa"/>
            <w:noWrap/>
            <w:hideMark/>
          </w:tcPr>
          <w:p w14:paraId="2C540B0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 </w:t>
            </w:r>
          </w:p>
        </w:tc>
        <w:tc>
          <w:tcPr>
            <w:tcW w:w="828" w:type="dxa"/>
            <w:noWrap/>
            <w:hideMark/>
          </w:tcPr>
          <w:p w14:paraId="2F3709D8" w14:textId="77777777" w:rsidR="00D6006F" w:rsidRPr="00282D8C" w:rsidRDefault="00D6006F" w:rsidP="00025E3F">
            <w:pPr>
              <w:ind w:firstLine="0"/>
              <w:rPr>
                <w:b/>
                <w:sz w:val="18"/>
                <w:szCs w:val="22"/>
              </w:rPr>
            </w:pPr>
            <w:r w:rsidRPr="00282D8C">
              <w:rPr>
                <w:b/>
                <w:sz w:val="18"/>
                <w:szCs w:val="22"/>
              </w:rPr>
              <w:t>CVVHD</w:t>
            </w:r>
          </w:p>
        </w:tc>
        <w:tc>
          <w:tcPr>
            <w:tcW w:w="799" w:type="dxa"/>
            <w:noWrap/>
            <w:hideMark/>
          </w:tcPr>
          <w:p w14:paraId="6D816D32" w14:textId="77777777" w:rsidR="00D6006F" w:rsidRPr="00282D8C" w:rsidRDefault="00D6006F" w:rsidP="00025E3F">
            <w:pPr>
              <w:ind w:firstLine="0"/>
              <w:rPr>
                <w:b/>
                <w:sz w:val="18"/>
                <w:szCs w:val="22"/>
              </w:rPr>
            </w:pPr>
            <w:r w:rsidRPr="00282D8C">
              <w:rPr>
                <w:b/>
                <w:sz w:val="18"/>
                <w:szCs w:val="22"/>
              </w:rPr>
              <w:t>CVVH</w:t>
            </w:r>
          </w:p>
        </w:tc>
        <w:tc>
          <w:tcPr>
            <w:tcW w:w="743" w:type="dxa"/>
            <w:noWrap/>
            <w:hideMark/>
          </w:tcPr>
          <w:p w14:paraId="19470D2E" w14:textId="77777777" w:rsidR="00D6006F" w:rsidRPr="00282D8C" w:rsidRDefault="00D6006F" w:rsidP="00025E3F">
            <w:pPr>
              <w:ind w:firstLine="0"/>
              <w:rPr>
                <w:b/>
                <w:sz w:val="18"/>
                <w:szCs w:val="22"/>
              </w:rPr>
            </w:pPr>
            <w:r w:rsidRPr="00282D8C">
              <w:rPr>
                <w:b/>
                <w:sz w:val="18"/>
                <w:szCs w:val="22"/>
              </w:rPr>
              <w:t>Total</w:t>
            </w:r>
          </w:p>
        </w:tc>
      </w:tr>
      <w:tr w:rsidR="00D6006F" w:rsidRPr="00282D8C" w14:paraId="34BBFCBB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5AA2EA6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5395" w:type="dxa"/>
            <w:noWrap/>
            <w:hideMark/>
          </w:tcPr>
          <w:p w14:paraId="3707EEC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Liver, Pancreas, Stomach, Intestine Transplant for Pseudo-obstruction</w:t>
            </w:r>
          </w:p>
        </w:tc>
        <w:tc>
          <w:tcPr>
            <w:tcW w:w="828" w:type="dxa"/>
            <w:noWrap/>
            <w:hideMark/>
          </w:tcPr>
          <w:p w14:paraId="465F1A76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4986EB1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29</w:t>
            </w:r>
          </w:p>
        </w:tc>
        <w:tc>
          <w:tcPr>
            <w:tcW w:w="743" w:type="dxa"/>
            <w:noWrap/>
            <w:hideMark/>
          </w:tcPr>
          <w:p w14:paraId="57F6DE5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29</w:t>
            </w:r>
          </w:p>
        </w:tc>
      </w:tr>
      <w:tr w:rsidR="00D6006F" w:rsidRPr="00282D8C" w14:paraId="57E9724F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2ADB5EF6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5395" w:type="dxa"/>
            <w:noWrap/>
            <w:hideMark/>
          </w:tcPr>
          <w:p w14:paraId="3CD6D2B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Acute on Chronic Liver Disease</w:t>
            </w:r>
          </w:p>
        </w:tc>
        <w:tc>
          <w:tcPr>
            <w:tcW w:w="828" w:type="dxa"/>
            <w:noWrap/>
            <w:hideMark/>
          </w:tcPr>
          <w:p w14:paraId="185E9E0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00E173C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743" w:type="dxa"/>
            <w:noWrap/>
            <w:hideMark/>
          </w:tcPr>
          <w:p w14:paraId="6424193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  <w:tr w:rsidR="00D6006F" w:rsidRPr="00282D8C" w14:paraId="543EA479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31D31FA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</w:t>
            </w:r>
          </w:p>
        </w:tc>
        <w:tc>
          <w:tcPr>
            <w:tcW w:w="5395" w:type="dxa"/>
            <w:noWrap/>
            <w:hideMark/>
          </w:tcPr>
          <w:p w14:paraId="0B71690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Liver Transplantation</w:t>
            </w:r>
          </w:p>
        </w:tc>
        <w:tc>
          <w:tcPr>
            <w:tcW w:w="828" w:type="dxa"/>
            <w:noWrap/>
            <w:hideMark/>
          </w:tcPr>
          <w:p w14:paraId="18D665C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740BDE1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743" w:type="dxa"/>
            <w:noWrap/>
            <w:hideMark/>
          </w:tcPr>
          <w:p w14:paraId="0653B47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  <w:tr w:rsidR="00D6006F" w:rsidRPr="00282D8C" w14:paraId="00A19D76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0238AA1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  <w:tc>
          <w:tcPr>
            <w:tcW w:w="5395" w:type="dxa"/>
            <w:noWrap/>
            <w:hideMark/>
          </w:tcPr>
          <w:p w14:paraId="52E2496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Sepsis of Unclear Origin in the Setting of recent Limb </w:t>
            </w:r>
            <w:proofErr w:type="spellStart"/>
            <w:r w:rsidRPr="00282D8C">
              <w:rPr>
                <w:sz w:val="18"/>
                <w:szCs w:val="22"/>
              </w:rPr>
              <w:t>Embolectomy</w:t>
            </w:r>
            <w:proofErr w:type="spellEnd"/>
          </w:p>
        </w:tc>
        <w:tc>
          <w:tcPr>
            <w:tcW w:w="828" w:type="dxa"/>
            <w:noWrap/>
            <w:hideMark/>
          </w:tcPr>
          <w:p w14:paraId="4E263FA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2C6578C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743" w:type="dxa"/>
            <w:noWrap/>
            <w:hideMark/>
          </w:tcPr>
          <w:p w14:paraId="4BD68B0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  <w:tr w:rsidR="00D6006F" w:rsidRPr="00282D8C" w14:paraId="1F8C74CF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532277A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5395" w:type="dxa"/>
            <w:noWrap/>
            <w:hideMark/>
          </w:tcPr>
          <w:p w14:paraId="6C544B6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Cardiac arrest</w:t>
            </w:r>
          </w:p>
        </w:tc>
        <w:tc>
          <w:tcPr>
            <w:tcW w:w="828" w:type="dxa"/>
            <w:noWrap/>
            <w:hideMark/>
          </w:tcPr>
          <w:p w14:paraId="78DEAE7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11D941F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  <w:tc>
          <w:tcPr>
            <w:tcW w:w="743" w:type="dxa"/>
            <w:noWrap/>
            <w:hideMark/>
          </w:tcPr>
          <w:p w14:paraId="56C35B2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</w:tr>
      <w:tr w:rsidR="00D6006F" w:rsidRPr="00282D8C" w14:paraId="74476E1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6A69DEE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6</w:t>
            </w:r>
          </w:p>
        </w:tc>
        <w:tc>
          <w:tcPr>
            <w:tcW w:w="5395" w:type="dxa"/>
            <w:noWrap/>
            <w:hideMark/>
          </w:tcPr>
          <w:p w14:paraId="7A99E6A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Infected </w:t>
            </w:r>
            <w:proofErr w:type="spellStart"/>
            <w:r w:rsidRPr="00282D8C">
              <w:rPr>
                <w:sz w:val="18"/>
                <w:szCs w:val="22"/>
              </w:rPr>
              <w:t>Aorto-bifemoral</w:t>
            </w:r>
            <w:proofErr w:type="spellEnd"/>
            <w:r w:rsidRPr="00282D8C">
              <w:rPr>
                <w:sz w:val="18"/>
                <w:szCs w:val="22"/>
              </w:rPr>
              <w:t xml:space="preserve"> Graft</w:t>
            </w:r>
          </w:p>
        </w:tc>
        <w:tc>
          <w:tcPr>
            <w:tcW w:w="828" w:type="dxa"/>
            <w:noWrap/>
            <w:hideMark/>
          </w:tcPr>
          <w:p w14:paraId="7D31F26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002E192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03872FF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</w:tr>
      <w:tr w:rsidR="00D6006F" w:rsidRPr="00282D8C" w14:paraId="675D0983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7358723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7</w:t>
            </w:r>
          </w:p>
        </w:tc>
        <w:tc>
          <w:tcPr>
            <w:tcW w:w="5395" w:type="dxa"/>
            <w:noWrap/>
            <w:hideMark/>
          </w:tcPr>
          <w:p w14:paraId="2323731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Fournier's Gangrene</w:t>
            </w:r>
          </w:p>
        </w:tc>
        <w:tc>
          <w:tcPr>
            <w:tcW w:w="828" w:type="dxa"/>
            <w:noWrap/>
            <w:hideMark/>
          </w:tcPr>
          <w:p w14:paraId="2203069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  <w:tc>
          <w:tcPr>
            <w:tcW w:w="799" w:type="dxa"/>
            <w:noWrap/>
            <w:hideMark/>
          </w:tcPr>
          <w:p w14:paraId="69214C8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3D830B8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</w:tr>
      <w:tr w:rsidR="00D6006F" w:rsidRPr="00282D8C" w14:paraId="7604D4B3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7742C286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8</w:t>
            </w:r>
          </w:p>
        </w:tc>
        <w:tc>
          <w:tcPr>
            <w:tcW w:w="5395" w:type="dxa"/>
            <w:noWrap/>
            <w:hideMark/>
          </w:tcPr>
          <w:p w14:paraId="572D8A0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Fulminant Hepatic Failure due to </w:t>
            </w:r>
            <w:proofErr w:type="spellStart"/>
            <w:r w:rsidRPr="00282D8C">
              <w:rPr>
                <w:sz w:val="18"/>
                <w:szCs w:val="22"/>
              </w:rPr>
              <w:t>Paracetamol</w:t>
            </w:r>
            <w:proofErr w:type="spellEnd"/>
            <w:r w:rsidRPr="00282D8C">
              <w:rPr>
                <w:sz w:val="18"/>
                <w:szCs w:val="22"/>
              </w:rPr>
              <w:t xml:space="preserve"> Overdose</w:t>
            </w:r>
          </w:p>
        </w:tc>
        <w:tc>
          <w:tcPr>
            <w:tcW w:w="828" w:type="dxa"/>
            <w:noWrap/>
            <w:hideMark/>
          </w:tcPr>
          <w:p w14:paraId="09146E5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24</w:t>
            </w:r>
          </w:p>
        </w:tc>
        <w:tc>
          <w:tcPr>
            <w:tcW w:w="799" w:type="dxa"/>
            <w:noWrap/>
            <w:hideMark/>
          </w:tcPr>
          <w:p w14:paraId="6FD9732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04240C9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25</w:t>
            </w:r>
          </w:p>
        </w:tc>
      </w:tr>
      <w:tr w:rsidR="00D6006F" w:rsidRPr="00282D8C" w14:paraId="0FE62B3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3260C5E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9</w:t>
            </w:r>
          </w:p>
        </w:tc>
        <w:tc>
          <w:tcPr>
            <w:tcW w:w="5395" w:type="dxa"/>
            <w:noWrap/>
            <w:hideMark/>
          </w:tcPr>
          <w:p w14:paraId="4595C1F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Fulminant Hepatic Failure</w:t>
            </w:r>
          </w:p>
        </w:tc>
        <w:tc>
          <w:tcPr>
            <w:tcW w:w="828" w:type="dxa"/>
            <w:noWrap/>
            <w:hideMark/>
          </w:tcPr>
          <w:p w14:paraId="1D3F8C7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29FC28E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743" w:type="dxa"/>
            <w:noWrap/>
            <w:hideMark/>
          </w:tcPr>
          <w:p w14:paraId="49BA6CA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  <w:tr w:rsidR="00D6006F" w:rsidRPr="00282D8C" w14:paraId="47177F97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0C15995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10</w:t>
            </w:r>
          </w:p>
        </w:tc>
        <w:tc>
          <w:tcPr>
            <w:tcW w:w="5395" w:type="dxa"/>
            <w:noWrap/>
            <w:hideMark/>
          </w:tcPr>
          <w:p w14:paraId="33A8010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Atrial Fibrillation with Rapid Ventricular Response</w:t>
            </w:r>
          </w:p>
        </w:tc>
        <w:tc>
          <w:tcPr>
            <w:tcW w:w="828" w:type="dxa"/>
            <w:noWrap/>
            <w:hideMark/>
          </w:tcPr>
          <w:p w14:paraId="4F3B8D3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3AA5F2A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  <w:tc>
          <w:tcPr>
            <w:tcW w:w="743" w:type="dxa"/>
            <w:noWrap/>
            <w:hideMark/>
          </w:tcPr>
          <w:p w14:paraId="0B5B429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</w:tr>
      <w:tr w:rsidR="00D6006F" w:rsidRPr="00282D8C" w14:paraId="66550401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6B8695A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11</w:t>
            </w:r>
          </w:p>
        </w:tc>
        <w:tc>
          <w:tcPr>
            <w:tcW w:w="5395" w:type="dxa"/>
            <w:noWrap/>
            <w:hideMark/>
          </w:tcPr>
          <w:p w14:paraId="2528F52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Post Coronary Artery Graft Surgery</w:t>
            </w:r>
          </w:p>
        </w:tc>
        <w:tc>
          <w:tcPr>
            <w:tcW w:w="828" w:type="dxa"/>
            <w:noWrap/>
            <w:hideMark/>
          </w:tcPr>
          <w:p w14:paraId="2F528568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13</w:t>
            </w:r>
          </w:p>
        </w:tc>
        <w:tc>
          <w:tcPr>
            <w:tcW w:w="799" w:type="dxa"/>
            <w:noWrap/>
            <w:hideMark/>
          </w:tcPr>
          <w:p w14:paraId="0BD4BA4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8</w:t>
            </w:r>
          </w:p>
        </w:tc>
        <w:tc>
          <w:tcPr>
            <w:tcW w:w="743" w:type="dxa"/>
            <w:noWrap/>
            <w:hideMark/>
          </w:tcPr>
          <w:p w14:paraId="7AFA106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21</w:t>
            </w:r>
          </w:p>
        </w:tc>
      </w:tr>
      <w:tr w:rsidR="00D6006F" w:rsidRPr="00282D8C" w14:paraId="71132D7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66879578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12</w:t>
            </w:r>
          </w:p>
        </w:tc>
        <w:tc>
          <w:tcPr>
            <w:tcW w:w="5395" w:type="dxa"/>
            <w:noWrap/>
            <w:hideMark/>
          </w:tcPr>
          <w:p w14:paraId="7A7E072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Acute Pancreatitis</w:t>
            </w:r>
          </w:p>
        </w:tc>
        <w:tc>
          <w:tcPr>
            <w:tcW w:w="828" w:type="dxa"/>
            <w:noWrap/>
            <w:hideMark/>
          </w:tcPr>
          <w:p w14:paraId="4FE4D528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99" w:type="dxa"/>
            <w:noWrap/>
            <w:hideMark/>
          </w:tcPr>
          <w:p w14:paraId="18D23AB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542380D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</w:tr>
      <w:tr w:rsidR="00D6006F" w:rsidRPr="00282D8C" w14:paraId="217CB838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07C5361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13</w:t>
            </w:r>
          </w:p>
        </w:tc>
        <w:tc>
          <w:tcPr>
            <w:tcW w:w="5395" w:type="dxa"/>
            <w:noWrap/>
            <w:hideMark/>
          </w:tcPr>
          <w:p w14:paraId="33B9830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proofErr w:type="spellStart"/>
            <w:r w:rsidRPr="00282D8C">
              <w:rPr>
                <w:sz w:val="18"/>
                <w:szCs w:val="22"/>
              </w:rPr>
              <w:t>Intrabdominal</w:t>
            </w:r>
            <w:proofErr w:type="spellEnd"/>
            <w:r w:rsidRPr="00282D8C">
              <w:rPr>
                <w:sz w:val="18"/>
                <w:szCs w:val="22"/>
              </w:rPr>
              <w:t xml:space="preserve"> Tuberculosis Infection</w:t>
            </w:r>
          </w:p>
        </w:tc>
        <w:tc>
          <w:tcPr>
            <w:tcW w:w="828" w:type="dxa"/>
            <w:noWrap/>
            <w:hideMark/>
          </w:tcPr>
          <w:p w14:paraId="6EE54A0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6D55291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7715FC4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</w:tr>
      <w:tr w:rsidR="00D6006F" w:rsidRPr="00282D8C" w14:paraId="5530C3E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48B3F04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14</w:t>
            </w:r>
          </w:p>
        </w:tc>
        <w:tc>
          <w:tcPr>
            <w:tcW w:w="5395" w:type="dxa"/>
            <w:noWrap/>
            <w:hideMark/>
          </w:tcPr>
          <w:p w14:paraId="3A155C3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Post Coronary Artery Graft Surgery</w:t>
            </w:r>
          </w:p>
        </w:tc>
        <w:tc>
          <w:tcPr>
            <w:tcW w:w="828" w:type="dxa"/>
            <w:noWrap/>
            <w:hideMark/>
          </w:tcPr>
          <w:p w14:paraId="607E5E1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99" w:type="dxa"/>
            <w:noWrap/>
            <w:hideMark/>
          </w:tcPr>
          <w:p w14:paraId="6AECDBE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1BBDA35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</w:tr>
      <w:tr w:rsidR="00D6006F" w:rsidRPr="00282D8C" w14:paraId="31961AC3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4AD9748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15</w:t>
            </w:r>
          </w:p>
        </w:tc>
        <w:tc>
          <w:tcPr>
            <w:tcW w:w="5395" w:type="dxa"/>
            <w:noWrap/>
            <w:hideMark/>
          </w:tcPr>
          <w:p w14:paraId="13591F1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Acute Kidney Failure</w:t>
            </w:r>
          </w:p>
        </w:tc>
        <w:tc>
          <w:tcPr>
            <w:tcW w:w="828" w:type="dxa"/>
            <w:noWrap/>
            <w:hideMark/>
          </w:tcPr>
          <w:p w14:paraId="5D097A7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10</w:t>
            </w:r>
          </w:p>
        </w:tc>
        <w:tc>
          <w:tcPr>
            <w:tcW w:w="799" w:type="dxa"/>
            <w:noWrap/>
            <w:hideMark/>
          </w:tcPr>
          <w:p w14:paraId="4FACC07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315F56E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10</w:t>
            </w:r>
          </w:p>
        </w:tc>
      </w:tr>
      <w:tr w:rsidR="00D6006F" w:rsidRPr="00282D8C" w14:paraId="462D3866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668D76D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16</w:t>
            </w:r>
          </w:p>
        </w:tc>
        <w:tc>
          <w:tcPr>
            <w:tcW w:w="5395" w:type="dxa"/>
            <w:noWrap/>
            <w:hideMark/>
          </w:tcPr>
          <w:p w14:paraId="5C1410C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Acute on Chronic Liver Disease</w:t>
            </w:r>
          </w:p>
        </w:tc>
        <w:tc>
          <w:tcPr>
            <w:tcW w:w="828" w:type="dxa"/>
            <w:noWrap/>
            <w:hideMark/>
          </w:tcPr>
          <w:p w14:paraId="08D5A9B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  <w:tc>
          <w:tcPr>
            <w:tcW w:w="799" w:type="dxa"/>
            <w:noWrap/>
            <w:hideMark/>
          </w:tcPr>
          <w:p w14:paraId="07DCCD7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3CC3FF7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</w:tr>
      <w:tr w:rsidR="00D6006F" w:rsidRPr="00282D8C" w14:paraId="735DE6AC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4FD980A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17</w:t>
            </w:r>
          </w:p>
        </w:tc>
        <w:tc>
          <w:tcPr>
            <w:tcW w:w="5395" w:type="dxa"/>
            <w:noWrap/>
            <w:hideMark/>
          </w:tcPr>
          <w:p w14:paraId="6629CAE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Admission after Partial Nephrectomy</w:t>
            </w:r>
          </w:p>
        </w:tc>
        <w:tc>
          <w:tcPr>
            <w:tcW w:w="828" w:type="dxa"/>
            <w:noWrap/>
            <w:hideMark/>
          </w:tcPr>
          <w:p w14:paraId="6C59F54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5222A9A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16D48E2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</w:tr>
      <w:tr w:rsidR="00D6006F" w:rsidRPr="00282D8C" w14:paraId="0B3B8F1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74674E6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18</w:t>
            </w:r>
          </w:p>
        </w:tc>
        <w:tc>
          <w:tcPr>
            <w:tcW w:w="5395" w:type="dxa"/>
            <w:noWrap/>
            <w:hideMark/>
          </w:tcPr>
          <w:p w14:paraId="3A37408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Acute Liver Failure after Hartmann Surgery for Diverticulitis</w:t>
            </w:r>
          </w:p>
        </w:tc>
        <w:tc>
          <w:tcPr>
            <w:tcW w:w="828" w:type="dxa"/>
            <w:noWrap/>
            <w:hideMark/>
          </w:tcPr>
          <w:p w14:paraId="74B41C3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17</w:t>
            </w:r>
          </w:p>
        </w:tc>
        <w:tc>
          <w:tcPr>
            <w:tcW w:w="799" w:type="dxa"/>
            <w:noWrap/>
            <w:hideMark/>
          </w:tcPr>
          <w:p w14:paraId="3CAA5BC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10</w:t>
            </w:r>
          </w:p>
        </w:tc>
        <w:tc>
          <w:tcPr>
            <w:tcW w:w="743" w:type="dxa"/>
            <w:noWrap/>
            <w:hideMark/>
          </w:tcPr>
          <w:p w14:paraId="6E8F51A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27</w:t>
            </w:r>
          </w:p>
        </w:tc>
      </w:tr>
      <w:tr w:rsidR="00D6006F" w:rsidRPr="00282D8C" w14:paraId="7255E12B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06EE2EA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19</w:t>
            </w:r>
          </w:p>
        </w:tc>
        <w:tc>
          <w:tcPr>
            <w:tcW w:w="5395" w:type="dxa"/>
            <w:noWrap/>
            <w:hideMark/>
          </w:tcPr>
          <w:p w14:paraId="7A81158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Acute on Chronic Liver Disease and Acute Kidney Failure</w:t>
            </w:r>
          </w:p>
        </w:tc>
        <w:tc>
          <w:tcPr>
            <w:tcW w:w="828" w:type="dxa"/>
            <w:noWrap/>
            <w:hideMark/>
          </w:tcPr>
          <w:p w14:paraId="45230FB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799" w:type="dxa"/>
            <w:noWrap/>
            <w:hideMark/>
          </w:tcPr>
          <w:p w14:paraId="6D1DCFB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2BB5A3B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</w:tr>
      <w:tr w:rsidR="00D6006F" w:rsidRPr="00282D8C" w14:paraId="280A31FA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63AC11F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20</w:t>
            </w:r>
          </w:p>
        </w:tc>
        <w:tc>
          <w:tcPr>
            <w:tcW w:w="5395" w:type="dxa"/>
            <w:noWrap/>
            <w:hideMark/>
          </w:tcPr>
          <w:p w14:paraId="5B3A784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Necrotizing Pancreatitis</w:t>
            </w:r>
          </w:p>
        </w:tc>
        <w:tc>
          <w:tcPr>
            <w:tcW w:w="828" w:type="dxa"/>
            <w:noWrap/>
            <w:hideMark/>
          </w:tcPr>
          <w:p w14:paraId="6D24976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2FD0337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6152296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</w:tr>
      <w:tr w:rsidR="00D6006F" w:rsidRPr="00282D8C" w14:paraId="6B254E86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2A2BFF1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21</w:t>
            </w:r>
          </w:p>
        </w:tc>
        <w:tc>
          <w:tcPr>
            <w:tcW w:w="5395" w:type="dxa"/>
            <w:noWrap/>
            <w:hideMark/>
          </w:tcPr>
          <w:p w14:paraId="74E5E2D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Liver Failure in context of Chronic Kidney Disease</w:t>
            </w:r>
          </w:p>
        </w:tc>
        <w:tc>
          <w:tcPr>
            <w:tcW w:w="828" w:type="dxa"/>
            <w:noWrap/>
            <w:hideMark/>
          </w:tcPr>
          <w:p w14:paraId="323BD82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</w:t>
            </w:r>
          </w:p>
        </w:tc>
        <w:tc>
          <w:tcPr>
            <w:tcW w:w="799" w:type="dxa"/>
            <w:noWrap/>
            <w:hideMark/>
          </w:tcPr>
          <w:p w14:paraId="3CE1053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1F9325F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</w:t>
            </w:r>
          </w:p>
        </w:tc>
      </w:tr>
      <w:tr w:rsidR="00D6006F" w:rsidRPr="00282D8C" w14:paraId="363512D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11424EF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22</w:t>
            </w:r>
          </w:p>
        </w:tc>
        <w:tc>
          <w:tcPr>
            <w:tcW w:w="5395" w:type="dxa"/>
            <w:noWrap/>
            <w:hideMark/>
          </w:tcPr>
          <w:p w14:paraId="37DB022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ICU admission after Aortic Valve Replacement</w:t>
            </w:r>
          </w:p>
        </w:tc>
        <w:tc>
          <w:tcPr>
            <w:tcW w:w="828" w:type="dxa"/>
            <w:noWrap/>
            <w:hideMark/>
          </w:tcPr>
          <w:p w14:paraId="67EEC8D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799" w:type="dxa"/>
            <w:noWrap/>
            <w:hideMark/>
          </w:tcPr>
          <w:p w14:paraId="4E9BDA2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4C0D52F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</w:tr>
      <w:tr w:rsidR="00D6006F" w:rsidRPr="00282D8C" w14:paraId="220DC28F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2D21A48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23</w:t>
            </w:r>
          </w:p>
        </w:tc>
        <w:tc>
          <w:tcPr>
            <w:tcW w:w="5395" w:type="dxa"/>
            <w:noWrap/>
            <w:hideMark/>
          </w:tcPr>
          <w:p w14:paraId="7EB13BE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Admission after Complicated Duodenal Ulcer</w:t>
            </w:r>
          </w:p>
        </w:tc>
        <w:tc>
          <w:tcPr>
            <w:tcW w:w="828" w:type="dxa"/>
            <w:noWrap/>
            <w:hideMark/>
          </w:tcPr>
          <w:p w14:paraId="705533D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7</w:t>
            </w:r>
          </w:p>
        </w:tc>
        <w:tc>
          <w:tcPr>
            <w:tcW w:w="799" w:type="dxa"/>
            <w:noWrap/>
            <w:hideMark/>
          </w:tcPr>
          <w:p w14:paraId="0FB1934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2A6C914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8</w:t>
            </w:r>
          </w:p>
        </w:tc>
      </w:tr>
      <w:tr w:rsidR="00D6006F" w:rsidRPr="00282D8C" w14:paraId="706C3B99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04EDAE2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24</w:t>
            </w:r>
          </w:p>
        </w:tc>
        <w:tc>
          <w:tcPr>
            <w:tcW w:w="5395" w:type="dxa"/>
            <w:noWrap/>
            <w:hideMark/>
          </w:tcPr>
          <w:p w14:paraId="2D3F15F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Acute on Chronic Liver Disease</w:t>
            </w:r>
          </w:p>
        </w:tc>
        <w:tc>
          <w:tcPr>
            <w:tcW w:w="828" w:type="dxa"/>
            <w:noWrap/>
            <w:hideMark/>
          </w:tcPr>
          <w:p w14:paraId="6839771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799" w:type="dxa"/>
            <w:noWrap/>
            <w:hideMark/>
          </w:tcPr>
          <w:p w14:paraId="7F9BBF6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150B5FF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  <w:tr w:rsidR="00D6006F" w:rsidRPr="00282D8C" w14:paraId="569AA0E6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03374C6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25</w:t>
            </w:r>
          </w:p>
        </w:tc>
        <w:tc>
          <w:tcPr>
            <w:tcW w:w="5395" w:type="dxa"/>
            <w:noWrap/>
            <w:hideMark/>
          </w:tcPr>
          <w:p w14:paraId="7B79D90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Admission after Liver and Kidney Transplant</w:t>
            </w:r>
          </w:p>
        </w:tc>
        <w:tc>
          <w:tcPr>
            <w:tcW w:w="828" w:type="dxa"/>
            <w:noWrap/>
            <w:hideMark/>
          </w:tcPr>
          <w:p w14:paraId="0C8735A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21</w:t>
            </w:r>
          </w:p>
        </w:tc>
        <w:tc>
          <w:tcPr>
            <w:tcW w:w="799" w:type="dxa"/>
            <w:noWrap/>
            <w:hideMark/>
          </w:tcPr>
          <w:p w14:paraId="3A218E3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3459082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22</w:t>
            </w:r>
          </w:p>
        </w:tc>
      </w:tr>
      <w:tr w:rsidR="00D6006F" w:rsidRPr="00282D8C" w14:paraId="148CC0A7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051B848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26</w:t>
            </w:r>
          </w:p>
        </w:tc>
        <w:tc>
          <w:tcPr>
            <w:tcW w:w="5395" w:type="dxa"/>
            <w:noWrap/>
            <w:hideMark/>
          </w:tcPr>
          <w:p w14:paraId="0BB7006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Cardiac Arrest</w:t>
            </w:r>
          </w:p>
        </w:tc>
        <w:tc>
          <w:tcPr>
            <w:tcW w:w="828" w:type="dxa"/>
            <w:noWrap/>
            <w:hideMark/>
          </w:tcPr>
          <w:p w14:paraId="0696A04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799" w:type="dxa"/>
            <w:noWrap/>
            <w:hideMark/>
          </w:tcPr>
          <w:p w14:paraId="5B903E4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47B20C4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  <w:tr w:rsidR="00D6006F" w:rsidRPr="00282D8C" w14:paraId="2900760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76C7927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27</w:t>
            </w:r>
          </w:p>
        </w:tc>
        <w:tc>
          <w:tcPr>
            <w:tcW w:w="5395" w:type="dxa"/>
            <w:noWrap/>
            <w:hideMark/>
          </w:tcPr>
          <w:p w14:paraId="614BE51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Out of Hospital Cardiac Arrest</w:t>
            </w:r>
          </w:p>
        </w:tc>
        <w:tc>
          <w:tcPr>
            <w:tcW w:w="828" w:type="dxa"/>
            <w:noWrap/>
            <w:hideMark/>
          </w:tcPr>
          <w:p w14:paraId="37A0337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99" w:type="dxa"/>
            <w:noWrap/>
            <w:hideMark/>
          </w:tcPr>
          <w:p w14:paraId="17E33818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02EBBEB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</w:tr>
      <w:tr w:rsidR="00D6006F" w:rsidRPr="00282D8C" w14:paraId="287F7892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11BDCF6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28</w:t>
            </w:r>
          </w:p>
        </w:tc>
        <w:tc>
          <w:tcPr>
            <w:tcW w:w="5395" w:type="dxa"/>
            <w:noWrap/>
            <w:hideMark/>
          </w:tcPr>
          <w:p w14:paraId="39CB7F5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Acute Kidney Failure and Severe </w:t>
            </w:r>
            <w:proofErr w:type="spellStart"/>
            <w:r w:rsidRPr="00282D8C">
              <w:rPr>
                <w:sz w:val="18"/>
                <w:szCs w:val="22"/>
              </w:rPr>
              <w:t>Acidemia</w:t>
            </w:r>
            <w:proofErr w:type="spellEnd"/>
          </w:p>
        </w:tc>
        <w:tc>
          <w:tcPr>
            <w:tcW w:w="828" w:type="dxa"/>
            <w:noWrap/>
            <w:hideMark/>
          </w:tcPr>
          <w:p w14:paraId="4EE1C27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99" w:type="dxa"/>
            <w:noWrap/>
            <w:hideMark/>
          </w:tcPr>
          <w:p w14:paraId="45ED309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376E960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</w:t>
            </w:r>
          </w:p>
        </w:tc>
      </w:tr>
      <w:tr w:rsidR="00D6006F" w:rsidRPr="00282D8C" w14:paraId="3D6B2F25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3D41389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29</w:t>
            </w:r>
          </w:p>
        </w:tc>
        <w:tc>
          <w:tcPr>
            <w:tcW w:w="5395" w:type="dxa"/>
            <w:noWrap/>
            <w:hideMark/>
          </w:tcPr>
          <w:p w14:paraId="0A2460C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Infective Endocarditis and Pneumonia</w:t>
            </w:r>
          </w:p>
        </w:tc>
        <w:tc>
          <w:tcPr>
            <w:tcW w:w="828" w:type="dxa"/>
            <w:noWrap/>
            <w:hideMark/>
          </w:tcPr>
          <w:p w14:paraId="30A28CE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</w:t>
            </w:r>
          </w:p>
        </w:tc>
        <w:tc>
          <w:tcPr>
            <w:tcW w:w="799" w:type="dxa"/>
            <w:noWrap/>
            <w:hideMark/>
          </w:tcPr>
          <w:p w14:paraId="6704AAD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391A34D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</w:t>
            </w:r>
          </w:p>
        </w:tc>
      </w:tr>
      <w:tr w:rsidR="00D6006F" w:rsidRPr="00282D8C" w14:paraId="108C3283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53FC7A0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30</w:t>
            </w:r>
          </w:p>
        </w:tc>
        <w:tc>
          <w:tcPr>
            <w:tcW w:w="5395" w:type="dxa"/>
            <w:noWrap/>
            <w:hideMark/>
          </w:tcPr>
          <w:p w14:paraId="17E150D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Multi-Organ Failure </w:t>
            </w:r>
            <w:proofErr w:type="spellStart"/>
            <w:r w:rsidRPr="00282D8C">
              <w:rPr>
                <w:sz w:val="18"/>
                <w:szCs w:val="22"/>
              </w:rPr>
              <w:t>secundary</w:t>
            </w:r>
            <w:proofErr w:type="spellEnd"/>
            <w:r w:rsidRPr="00282D8C">
              <w:rPr>
                <w:sz w:val="18"/>
                <w:szCs w:val="22"/>
              </w:rPr>
              <w:t xml:space="preserve"> to Septic Shock</w:t>
            </w:r>
          </w:p>
        </w:tc>
        <w:tc>
          <w:tcPr>
            <w:tcW w:w="828" w:type="dxa"/>
            <w:noWrap/>
            <w:hideMark/>
          </w:tcPr>
          <w:p w14:paraId="39E7A8E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799" w:type="dxa"/>
            <w:noWrap/>
            <w:hideMark/>
          </w:tcPr>
          <w:p w14:paraId="074709A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4B4AD2F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</w:tr>
      <w:tr w:rsidR="00D6006F" w:rsidRPr="00282D8C" w14:paraId="45AB2C00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6D7A8AD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31</w:t>
            </w:r>
          </w:p>
        </w:tc>
        <w:tc>
          <w:tcPr>
            <w:tcW w:w="5395" w:type="dxa"/>
            <w:noWrap/>
            <w:hideMark/>
          </w:tcPr>
          <w:p w14:paraId="112CCC8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Complicated Pneumonia</w:t>
            </w:r>
          </w:p>
        </w:tc>
        <w:tc>
          <w:tcPr>
            <w:tcW w:w="828" w:type="dxa"/>
            <w:noWrap/>
            <w:hideMark/>
          </w:tcPr>
          <w:p w14:paraId="7EAFCF2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99" w:type="dxa"/>
            <w:noWrap/>
            <w:hideMark/>
          </w:tcPr>
          <w:p w14:paraId="39AA0EA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4C00618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</w:tr>
      <w:tr w:rsidR="00D6006F" w:rsidRPr="00282D8C" w14:paraId="0F5BA8F2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52C3C44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32</w:t>
            </w:r>
          </w:p>
        </w:tc>
        <w:tc>
          <w:tcPr>
            <w:tcW w:w="5395" w:type="dxa"/>
            <w:noWrap/>
            <w:hideMark/>
          </w:tcPr>
          <w:p w14:paraId="3B4EC90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Sepsis, Peritonitis. Peritoneal Dialysis Patient</w:t>
            </w:r>
          </w:p>
        </w:tc>
        <w:tc>
          <w:tcPr>
            <w:tcW w:w="828" w:type="dxa"/>
            <w:noWrap/>
            <w:hideMark/>
          </w:tcPr>
          <w:p w14:paraId="5883634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  <w:tc>
          <w:tcPr>
            <w:tcW w:w="799" w:type="dxa"/>
            <w:noWrap/>
            <w:hideMark/>
          </w:tcPr>
          <w:p w14:paraId="4384115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3C9A87E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</w:tr>
      <w:tr w:rsidR="00D6006F" w:rsidRPr="00282D8C" w14:paraId="38416C2F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4A6CF61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33</w:t>
            </w:r>
          </w:p>
        </w:tc>
        <w:tc>
          <w:tcPr>
            <w:tcW w:w="5395" w:type="dxa"/>
            <w:noWrap/>
            <w:hideMark/>
          </w:tcPr>
          <w:p w14:paraId="512A0109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Sternal Wound </w:t>
            </w:r>
            <w:proofErr w:type="spellStart"/>
            <w:r w:rsidRPr="00282D8C">
              <w:rPr>
                <w:sz w:val="18"/>
                <w:szCs w:val="22"/>
              </w:rPr>
              <w:t>Infeccion</w:t>
            </w:r>
            <w:proofErr w:type="spellEnd"/>
            <w:r w:rsidRPr="00282D8C">
              <w:rPr>
                <w:sz w:val="18"/>
                <w:szCs w:val="22"/>
              </w:rPr>
              <w:t xml:space="preserve"> post Cardiac Surgery</w:t>
            </w:r>
          </w:p>
        </w:tc>
        <w:tc>
          <w:tcPr>
            <w:tcW w:w="828" w:type="dxa"/>
            <w:noWrap/>
            <w:hideMark/>
          </w:tcPr>
          <w:p w14:paraId="53769BF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7</w:t>
            </w:r>
          </w:p>
        </w:tc>
        <w:tc>
          <w:tcPr>
            <w:tcW w:w="799" w:type="dxa"/>
            <w:noWrap/>
            <w:hideMark/>
          </w:tcPr>
          <w:p w14:paraId="08497F6A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06A9B996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7</w:t>
            </w:r>
          </w:p>
        </w:tc>
      </w:tr>
      <w:tr w:rsidR="00D6006F" w:rsidRPr="00282D8C" w14:paraId="66B5EF5A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40E025D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34</w:t>
            </w:r>
          </w:p>
        </w:tc>
        <w:tc>
          <w:tcPr>
            <w:tcW w:w="5395" w:type="dxa"/>
            <w:noWrap/>
            <w:hideMark/>
          </w:tcPr>
          <w:p w14:paraId="72193A2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Pneumonia with Acute Kidney Failure</w:t>
            </w:r>
          </w:p>
        </w:tc>
        <w:tc>
          <w:tcPr>
            <w:tcW w:w="828" w:type="dxa"/>
            <w:noWrap/>
            <w:hideMark/>
          </w:tcPr>
          <w:p w14:paraId="4CD8736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799" w:type="dxa"/>
            <w:noWrap/>
            <w:hideMark/>
          </w:tcPr>
          <w:p w14:paraId="26CF5DA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7C47B9F5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</w:tr>
      <w:tr w:rsidR="00D6006F" w:rsidRPr="00282D8C" w14:paraId="70D8F2D0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6CAC399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35</w:t>
            </w:r>
          </w:p>
        </w:tc>
        <w:tc>
          <w:tcPr>
            <w:tcW w:w="5395" w:type="dxa"/>
            <w:noWrap/>
            <w:hideMark/>
          </w:tcPr>
          <w:p w14:paraId="262962C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Peritonitis after Gut Surgery</w:t>
            </w:r>
          </w:p>
        </w:tc>
        <w:tc>
          <w:tcPr>
            <w:tcW w:w="828" w:type="dxa"/>
            <w:noWrap/>
            <w:hideMark/>
          </w:tcPr>
          <w:p w14:paraId="1CBED30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99" w:type="dxa"/>
            <w:noWrap/>
            <w:hideMark/>
          </w:tcPr>
          <w:p w14:paraId="5FB31EA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4</w:t>
            </w:r>
          </w:p>
        </w:tc>
        <w:tc>
          <w:tcPr>
            <w:tcW w:w="743" w:type="dxa"/>
            <w:noWrap/>
            <w:hideMark/>
          </w:tcPr>
          <w:p w14:paraId="75AC5F8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  <w:tr w:rsidR="00D6006F" w:rsidRPr="00282D8C" w14:paraId="57F6A049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4DE807A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36</w:t>
            </w:r>
          </w:p>
        </w:tc>
        <w:tc>
          <w:tcPr>
            <w:tcW w:w="5395" w:type="dxa"/>
            <w:noWrap/>
            <w:hideMark/>
          </w:tcPr>
          <w:p w14:paraId="597B6A4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Acute Liver Failure due to </w:t>
            </w:r>
            <w:proofErr w:type="spellStart"/>
            <w:r w:rsidRPr="00282D8C">
              <w:rPr>
                <w:sz w:val="18"/>
                <w:szCs w:val="22"/>
              </w:rPr>
              <w:t>Paracetamol</w:t>
            </w:r>
            <w:proofErr w:type="spellEnd"/>
            <w:r w:rsidRPr="00282D8C">
              <w:rPr>
                <w:sz w:val="18"/>
                <w:szCs w:val="22"/>
              </w:rPr>
              <w:t xml:space="preserve"> Intoxication</w:t>
            </w:r>
          </w:p>
        </w:tc>
        <w:tc>
          <w:tcPr>
            <w:tcW w:w="828" w:type="dxa"/>
            <w:noWrap/>
            <w:hideMark/>
          </w:tcPr>
          <w:p w14:paraId="6EA8743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14</w:t>
            </w:r>
          </w:p>
        </w:tc>
        <w:tc>
          <w:tcPr>
            <w:tcW w:w="799" w:type="dxa"/>
            <w:noWrap/>
            <w:hideMark/>
          </w:tcPr>
          <w:p w14:paraId="4F7E4C3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</w:t>
            </w:r>
          </w:p>
        </w:tc>
        <w:tc>
          <w:tcPr>
            <w:tcW w:w="743" w:type="dxa"/>
            <w:noWrap/>
            <w:hideMark/>
          </w:tcPr>
          <w:p w14:paraId="3B3E169F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15</w:t>
            </w:r>
          </w:p>
        </w:tc>
      </w:tr>
      <w:tr w:rsidR="00D6006F" w:rsidRPr="00282D8C" w14:paraId="75D63F1E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2B6FF826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37</w:t>
            </w:r>
          </w:p>
        </w:tc>
        <w:tc>
          <w:tcPr>
            <w:tcW w:w="5395" w:type="dxa"/>
            <w:noWrap/>
            <w:hideMark/>
          </w:tcPr>
          <w:p w14:paraId="018F854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Admitted ICU after Cardiac Bypass Surgery</w:t>
            </w:r>
          </w:p>
        </w:tc>
        <w:tc>
          <w:tcPr>
            <w:tcW w:w="828" w:type="dxa"/>
            <w:noWrap/>
            <w:hideMark/>
          </w:tcPr>
          <w:p w14:paraId="79F996F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17</w:t>
            </w:r>
          </w:p>
        </w:tc>
        <w:tc>
          <w:tcPr>
            <w:tcW w:w="799" w:type="dxa"/>
            <w:noWrap/>
            <w:hideMark/>
          </w:tcPr>
          <w:p w14:paraId="772254B4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</w:t>
            </w:r>
          </w:p>
        </w:tc>
        <w:tc>
          <w:tcPr>
            <w:tcW w:w="743" w:type="dxa"/>
            <w:noWrap/>
            <w:hideMark/>
          </w:tcPr>
          <w:p w14:paraId="7B187F3D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19</w:t>
            </w:r>
          </w:p>
        </w:tc>
      </w:tr>
      <w:tr w:rsidR="00D6006F" w:rsidRPr="00282D8C" w14:paraId="632919C3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37405AC2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38</w:t>
            </w:r>
          </w:p>
        </w:tc>
        <w:tc>
          <w:tcPr>
            <w:tcW w:w="5395" w:type="dxa"/>
            <w:noWrap/>
            <w:hideMark/>
          </w:tcPr>
          <w:p w14:paraId="3AE69DDE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Non-alcoholic </w:t>
            </w:r>
            <w:proofErr w:type="spellStart"/>
            <w:r w:rsidRPr="00282D8C">
              <w:rPr>
                <w:sz w:val="18"/>
                <w:szCs w:val="22"/>
              </w:rPr>
              <w:t>Steatohepatitis</w:t>
            </w:r>
            <w:proofErr w:type="spellEnd"/>
            <w:r w:rsidRPr="00282D8C">
              <w:rPr>
                <w:sz w:val="18"/>
                <w:szCs w:val="22"/>
              </w:rPr>
              <w:t xml:space="preserve"> </w:t>
            </w:r>
            <w:proofErr w:type="spellStart"/>
            <w:r w:rsidRPr="00282D8C">
              <w:rPr>
                <w:sz w:val="18"/>
                <w:szCs w:val="22"/>
              </w:rPr>
              <w:t>Cirrosis</w:t>
            </w:r>
            <w:proofErr w:type="spellEnd"/>
            <w:r w:rsidRPr="00282D8C">
              <w:rPr>
                <w:sz w:val="18"/>
                <w:szCs w:val="22"/>
              </w:rPr>
              <w:t>, Liver failure, Liver transplant</w:t>
            </w:r>
          </w:p>
        </w:tc>
        <w:tc>
          <w:tcPr>
            <w:tcW w:w="828" w:type="dxa"/>
            <w:noWrap/>
            <w:hideMark/>
          </w:tcPr>
          <w:p w14:paraId="3C431BE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25</w:t>
            </w:r>
          </w:p>
        </w:tc>
        <w:tc>
          <w:tcPr>
            <w:tcW w:w="799" w:type="dxa"/>
            <w:noWrap/>
            <w:hideMark/>
          </w:tcPr>
          <w:p w14:paraId="75912C2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43" w:type="dxa"/>
            <w:noWrap/>
            <w:hideMark/>
          </w:tcPr>
          <w:p w14:paraId="5D56B9F7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25</w:t>
            </w:r>
          </w:p>
        </w:tc>
      </w:tr>
      <w:tr w:rsidR="00D6006F" w:rsidRPr="00282D8C" w14:paraId="5F8E8754" w14:textId="77777777" w:rsidTr="00025E3F">
        <w:trPr>
          <w:trHeight w:hRule="exact" w:val="219"/>
        </w:trPr>
        <w:tc>
          <w:tcPr>
            <w:tcW w:w="833" w:type="dxa"/>
            <w:noWrap/>
            <w:hideMark/>
          </w:tcPr>
          <w:p w14:paraId="3ACE304C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39</w:t>
            </w:r>
          </w:p>
        </w:tc>
        <w:tc>
          <w:tcPr>
            <w:tcW w:w="5395" w:type="dxa"/>
            <w:noWrap/>
            <w:hideMark/>
          </w:tcPr>
          <w:p w14:paraId="131FA103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 xml:space="preserve">Complicated </w:t>
            </w:r>
            <w:proofErr w:type="spellStart"/>
            <w:r w:rsidRPr="00282D8C">
              <w:rPr>
                <w:sz w:val="18"/>
                <w:szCs w:val="22"/>
              </w:rPr>
              <w:t>Limphoproliferative</w:t>
            </w:r>
            <w:proofErr w:type="spellEnd"/>
            <w:r w:rsidRPr="00282D8C">
              <w:rPr>
                <w:sz w:val="18"/>
                <w:szCs w:val="22"/>
              </w:rPr>
              <w:t xml:space="preserve"> Malignancy</w:t>
            </w:r>
          </w:p>
        </w:tc>
        <w:tc>
          <w:tcPr>
            <w:tcW w:w="828" w:type="dxa"/>
            <w:noWrap/>
            <w:hideMark/>
          </w:tcPr>
          <w:p w14:paraId="3F70BBEB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0</w:t>
            </w:r>
          </w:p>
        </w:tc>
        <w:tc>
          <w:tcPr>
            <w:tcW w:w="799" w:type="dxa"/>
            <w:noWrap/>
            <w:hideMark/>
          </w:tcPr>
          <w:p w14:paraId="62E5F951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  <w:tc>
          <w:tcPr>
            <w:tcW w:w="743" w:type="dxa"/>
            <w:noWrap/>
            <w:hideMark/>
          </w:tcPr>
          <w:p w14:paraId="2B9A7530" w14:textId="77777777" w:rsidR="00D6006F" w:rsidRPr="00282D8C" w:rsidRDefault="00D6006F" w:rsidP="00025E3F">
            <w:pPr>
              <w:ind w:firstLine="0"/>
              <w:rPr>
                <w:sz w:val="18"/>
                <w:szCs w:val="22"/>
              </w:rPr>
            </w:pPr>
            <w:r w:rsidRPr="00282D8C">
              <w:rPr>
                <w:sz w:val="18"/>
                <w:szCs w:val="22"/>
              </w:rPr>
              <w:t>5</w:t>
            </w:r>
          </w:p>
        </w:tc>
      </w:tr>
    </w:tbl>
    <w:p w14:paraId="5C98EF43" w14:textId="58314F89" w:rsidR="00964FD2" w:rsidRPr="00DD7099" w:rsidRDefault="00D6006F" w:rsidP="00964FD2">
      <w:pPr>
        <w:spacing w:line="240" w:lineRule="auto"/>
        <w:ind w:firstLine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</w:rPr>
        <w:fldChar w:fldCharType="end"/>
      </w:r>
      <w:bookmarkStart w:id="0" w:name="_GoBack"/>
      <w:bookmarkEnd w:id="0"/>
      <w:r w:rsidR="00964FD2" w:rsidRPr="00520E66">
        <w:rPr>
          <w:sz w:val="18"/>
          <w:szCs w:val="18"/>
        </w:rPr>
        <w:t xml:space="preserve">Footnote: Each patient had a variable number of circuits (for example patient 1 had 29 filters, while patient </w:t>
      </w:r>
      <w:proofErr w:type="gramStart"/>
      <w:r w:rsidR="00964FD2" w:rsidRPr="00520E66">
        <w:rPr>
          <w:sz w:val="18"/>
          <w:szCs w:val="18"/>
        </w:rPr>
        <w:t>6</w:t>
      </w:r>
      <w:proofErr w:type="gramEnd"/>
      <w:r w:rsidR="00964FD2" w:rsidRPr="00520E66">
        <w:rPr>
          <w:sz w:val="18"/>
          <w:szCs w:val="18"/>
        </w:rPr>
        <w:t xml:space="preserve"> had only one filters) in a given modality. The difference in CRRT numbers is not due to preferential allocation to a given modality but rather </w:t>
      </w:r>
      <w:r w:rsidR="00964FD2">
        <w:rPr>
          <w:sz w:val="18"/>
          <w:szCs w:val="18"/>
        </w:rPr>
        <w:t>to</w:t>
      </w:r>
      <w:r w:rsidR="00964FD2" w:rsidRPr="00520E66">
        <w:rPr>
          <w:sz w:val="18"/>
          <w:szCs w:val="18"/>
        </w:rPr>
        <w:t xml:space="preserve"> our progressive transition from CVVH/CVVHDF to CVVHD, </w:t>
      </w:r>
      <w:r w:rsidR="00964FD2">
        <w:rPr>
          <w:sz w:val="18"/>
          <w:szCs w:val="18"/>
        </w:rPr>
        <w:t xml:space="preserve">with </w:t>
      </w:r>
      <w:r w:rsidR="00964FD2" w:rsidRPr="00520E66">
        <w:rPr>
          <w:sz w:val="18"/>
          <w:szCs w:val="18"/>
        </w:rPr>
        <w:t xml:space="preserve">different teams were involved in CRRT prescription. Once a </w:t>
      </w:r>
      <w:r w:rsidR="00964FD2">
        <w:rPr>
          <w:sz w:val="18"/>
          <w:szCs w:val="18"/>
        </w:rPr>
        <w:t xml:space="preserve">prescription was </w:t>
      </w:r>
      <w:proofErr w:type="gramStart"/>
      <w:r w:rsidR="00964FD2">
        <w:rPr>
          <w:sz w:val="18"/>
          <w:szCs w:val="18"/>
        </w:rPr>
        <w:t>made</w:t>
      </w:r>
      <w:proofErr w:type="gramEnd"/>
      <w:r w:rsidR="00964FD2">
        <w:rPr>
          <w:sz w:val="18"/>
          <w:szCs w:val="18"/>
        </w:rPr>
        <w:t xml:space="preserve"> it was continued during the ICU stay</w:t>
      </w:r>
      <w:r w:rsidR="00964FD2" w:rsidRPr="00520E66">
        <w:rPr>
          <w:sz w:val="18"/>
          <w:szCs w:val="18"/>
        </w:rPr>
        <w:t>. So, if, for example</w:t>
      </w:r>
      <w:r w:rsidR="00964FD2">
        <w:rPr>
          <w:sz w:val="18"/>
          <w:szCs w:val="18"/>
        </w:rPr>
        <w:t>, if a</w:t>
      </w:r>
      <w:r w:rsidR="00964FD2" w:rsidRPr="00520E66">
        <w:rPr>
          <w:sz w:val="18"/>
          <w:szCs w:val="18"/>
        </w:rPr>
        <w:t xml:space="preserve"> patient </w:t>
      </w:r>
      <w:r w:rsidR="00964FD2">
        <w:rPr>
          <w:sz w:val="18"/>
          <w:szCs w:val="18"/>
        </w:rPr>
        <w:t xml:space="preserve">(like patient No </w:t>
      </w:r>
      <w:r w:rsidR="00964FD2" w:rsidRPr="00520E66">
        <w:rPr>
          <w:sz w:val="18"/>
          <w:szCs w:val="18"/>
        </w:rPr>
        <w:t>1</w:t>
      </w:r>
      <w:r w:rsidR="00964FD2">
        <w:rPr>
          <w:sz w:val="18"/>
          <w:szCs w:val="18"/>
        </w:rPr>
        <w:t>)</w:t>
      </w:r>
      <w:r w:rsidR="00964FD2" w:rsidRPr="00520E66">
        <w:rPr>
          <w:sz w:val="18"/>
          <w:szCs w:val="18"/>
        </w:rPr>
        <w:t xml:space="preserve"> had been started on CVVH, they continued all circuits on CVVH thereafter. In contrast, if another (like patient No 8) </w:t>
      </w:r>
      <w:proofErr w:type="gramStart"/>
      <w:r w:rsidR="00964FD2" w:rsidRPr="00520E66">
        <w:rPr>
          <w:sz w:val="18"/>
          <w:szCs w:val="18"/>
        </w:rPr>
        <w:t>had been started</w:t>
      </w:r>
      <w:proofErr w:type="gramEnd"/>
      <w:r w:rsidR="00964FD2" w:rsidRPr="00520E66">
        <w:rPr>
          <w:sz w:val="18"/>
          <w:szCs w:val="18"/>
        </w:rPr>
        <w:t xml:space="preserve"> on CVVHD, they would also continue on CVVHD for essentially the entire duration of their CRRT time.</w:t>
      </w:r>
    </w:p>
    <w:p w14:paraId="79EA99FF" w14:textId="77777777" w:rsidR="00D6006F" w:rsidRDefault="00D6006F" w:rsidP="00D6006F">
      <w:pPr>
        <w:ind w:firstLine="0"/>
        <w:rPr>
          <w:rFonts w:ascii="Arial" w:hAnsi="Arial" w:cs="Arial"/>
          <w:color w:val="000000" w:themeColor="text1"/>
        </w:rPr>
      </w:pPr>
    </w:p>
    <w:p w14:paraId="3822CED6" w14:textId="77777777" w:rsidR="00D6006F" w:rsidRPr="005519BE" w:rsidRDefault="00D6006F" w:rsidP="00D6006F">
      <w:pPr>
        <w:ind w:firstLine="0"/>
        <w:rPr>
          <w:rFonts w:ascii="Arial" w:hAnsi="Arial" w:cs="Arial"/>
          <w:color w:val="000000" w:themeColor="text1"/>
        </w:rPr>
      </w:pPr>
    </w:p>
    <w:p w14:paraId="2A65C3AE" w14:textId="77777777" w:rsidR="00D6006F" w:rsidRDefault="00D6006F" w:rsidP="00D6006F">
      <w:pPr>
        <w:ind w:firstLine="0"/>
      </w:pPr>
    </w:p>
    <w:p w14:paraId="1D10BF2F" w14:textId="77777777" w:rsidR="00D6006F" w:rsidRDefault="00D6006F" w:rsidP="00D6006F">
      <w:pPr>
        <w:ind w:firstLine="0"/>
      </w:pPr>
    </w:p>
    <w:p w14:paraId="268320CD" w14:textId="77777777" w:rsidR="00D6006F" w:rsidRDefault="00D6006F" w:rsidP="00D6006F">
      <w:pPr>
        <w:ind w:firstLine="0"/>
      </w:pPr>
    </w:p>
    <w:p w14:paraId="0F8E3131" w14:textId="77777777" w:rsidR="00D6006F" w:rsidRDefault="00D6006F" w:rsidP="00D6006F">
      <w:pPr>
        <w:ind w:firstLine="0"/>
      </w:pPr>
    </w:p>
    <w:p w14:paraId="5D01DAAC" w14:textId="77777777" w:rsidR="00D6006F" w:rsidRDefault="00D6006F" w:rsidP="00D6006F">
      <w:pPr>
        <w:ind w:firstLine="0"/>
      </w:pPr>
    </w:p>
    <w:p w14:paraId="2B2EE954" w14:textId="77777777" w:rsidR="00D6006F" w:rsidRDefault="00D6006F" w:rsidP="00D6006F">
      <w:pPr>
        <w:ind w:firstLine="0"/>
      </w:pPr>
    </w:p>
    <w:p w14:paraId="41BA041F" w14:textId="77777777" w:rsidR="00D6006F" w:rsidRDefault="00D6006F" w:rsidP="00D6006F">
      <w:pPr>
        <w:ind w:firstLine="0"/>
      </w:pPr>
    </w:p>
    <w:p w14:paraId="183CF37A" w14:textId="77777777" w:rsidR="00D6006F" w:rsidRDefault="00D6006F" w:rsidP="00D6006F">
      <w:pPr>
        <w:ind w:firstLine="0"/>
      </w:pPr>
    </w:p>
    <w:tbl>
      <w:tblPr>
        <w:tblW w:w="9187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3092"/>
        <w:gridCol w:w="2420"/>
        <w:gridCol w:w="2400"/>
        <w:gridCol w:w="1275"/>
      </w:tblGrid>
      <w:tr w:rsidR="00D6006F" w:rsidRPr="005519BE" w14:paraId="66EFAFBD" w14:textId="77777777" w:rsidTr="00025E3F">
        <w:tc>
          <w:tcPr>
            <w:tcW w:w="9187" w:type="dxa"/>
            <w:gridSpan w:val="4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55D78" w14:textId="6E5A48A9" w:rsidR="00D6006F" w:rsidRPr="005519BE" w:rsidRDefault="00D6006F" w:rsidP="00771DE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e-Table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3</w:t>
            </w: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Settings and characteristics of the first circuit</w:t>
            </w:r>
            <w:r w:rsidR="00771DE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used for each patient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 based on CRRT mode</w:t>
            </w:r>
          </w:p>
        </w:tc>
      </w:tr>
      <w:tr w:rsidR="00D6006F" w:rsidRPr="005519BE" w14:paraId="70975E43" w14:textId="77777777" w:rsidTr="00025E3F"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1435DC4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Variables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0318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CVVHD</w:t>
            </w:r>
          </w:p>
          <w:p w14:paraId="2C883E6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N=25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E470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CVVH</w:t>
            </w:r>
          </w:p>
          <w:p w14:paraId="618813C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N=14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B047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 value</w:t>
            </w:r>
          </w:p>
        </w:tc>
      </w:tr>
      <w:tr w:rsidR="00D6006F" w:rsidRPr="005519BE" w14:paraId="591D86A5" w14:textId="77777777" w:rsidTr="00025E3F">
        <w:tc>
          <w:tcPr>
            <w:tcW w:w="3092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8150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Blood flow (ml/min)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C25A2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100 [100; 100]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DC7B3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200 [150; 200]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FABC5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&lt;0.01</w:t>
            </w:r>
          </w:p>
        </w:tc>
      </w:tr>
      <w:tr w:rsidR="00D6006F" w:rsidRPr="005519BE" w14:paraId="751F1AFE" w14:textId="77777777" w:rsidTr="00025E3F">
        <w:tc>
          <w:tcPr>
            <w:tcW w:w="30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35F3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Effluent flow rate (ml/h/kg)*</w:t>
            </w:r>
          </w:p>
        </w:tc>
        <w:tc>
          <w:tcPr>
            <w:tcW w:w="2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9148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27.2 [22.2; 32.3]</w:t>
            </w:r>
          </w:p>
        </w:tc>
        <w:tc>
          <w:tcPr>
            <w:tcW w:w="2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0469F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24.2 [18.3; 32.0]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0E43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0.39</w:t>
            </w:r>
          </w:p>
        </w:tc>
      </w:tr>
      <w:tr w:rsidR="00D6006F" w:rsidRPr="005519BE" w14:paraId="29D56A5F" w14:textId="77777777" w:rsidTr="00025E3F">
        <w:tc>
          <w:tcPr>
            <w:tcW w:w="30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5B716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Anticoagulation agent:</w:t>
            </w:r>
          </w:p>
        </w:tc>
        <w:tc>
          <w:tcPr>
            <w:tcW w:w="2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19F18D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54A17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C313A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072DF74E" w14:textId="77777777" w:rsidTr="00025E3F">
        <w:tc>
          <w:tcPr>
            <w:tcW w:w="30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E98A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567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Heparin and others</w:t>
            </w: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§</w:t>
            </w:r>
          </w:p>
        </w:tc>
        <w:tc>
          <w:tcPr>
            <w:tcW w:w="2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305D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11 (44%)</w:t>
            </w:r>
          </w:p>
        </w:tc>
        <w:tc>
          <w:tcPr>
            <w:tcW w:w="2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D4454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3 (21%)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185F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&lt;0.01</w:t>
            </w:r>
          </w:p>
        </w:tc>
      </w:tr>
      <w:tr w:rsidR="00D6006F" w:rsidRPr="005519BE" w14:paraId="1D0A0322" w14:textId="77777777" w:rsidTr="00025E3F">
        <w:tc>
          <w:tcPr>
            <w:tcW w:w="30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52E6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567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2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1C855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14 (56%)</w:t>
            </w:r>
          </w:p>
        </w:tc>
        <w:tc>
          <w:tcPr>
            <w:tcW w:w="2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F577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5 (36%)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A7FE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3334C348" w14:textId="77777777" w:rsidTr="00025E3F">
        <w:tc>
          <w:tcPr>
            <w:tcW w:w="30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27020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567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Citrate</w:t>
            </w:r>
          </w:p>
        </w:tc>
        <w:tc>
          <w:tcPr>
            <w:tcW w:w="2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847AE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 (0%)</w:t>
            </w:r>
          </w:p>
        </w:tc>
        <w:tc>
          <w:tcPr>
            <w:tcW w:w="2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3BD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6 (43%)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39E18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3C825F24" w14:textId="77777777" w:rsidTr="00025E3F">
        <w:trPr>
          <w:trHeight w:val="414"/>
        </w:trPr>
        <w:tc>
          <w:tcPr>
            <w:tcW w:w="30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467D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Vascular access site:</w:t>
            </w:r>
          </w:p>
        </w:tc>
        <w:tc>
          <w:tcPr>
            <w:tcW w:w="2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0EB5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1B30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DCEC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18DC2CF5" w14:textId="77777777" w:rsidTr="00025E3F">
        <w:tc>
          <w:tcPr>
            <w:tcW w:w="30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8C06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567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Femoral</w:t>
            </w:r>
          </w:p>
        </w:tc>
        <w:tc>
          <w:tcPr>
            <w:tcW w:w="24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4AA8A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16 (64%)</w:t>
            </w:r>
          </w:p>
        </w:tc>
        <w:tc>
          <w:tcPr>
            <w:tcW w:w="24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3407B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7 (50%)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918D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0.50</w:t>
            </w:r>
          </w:p>
        </w:tc>
      </w:tr>
      <w:tr w:rsidR="00D6006F" w:rsidRPr="005519BE" w14:paraId="3BF5C421" w14:textId="77777777" w:rsidTr="00025E3F">
        <w:tc>
          <w:tcPr>
            <w:tcW w:w="3092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B575E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567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Superior vena cava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973B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9 (36%)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5907EE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7 (50%)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1DDC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61AAB38D" w14:textId="77777777" w:rsidTr="00025E3F">
        <w:tc>
          <w:tcPr>
            <w:tcW w:w="9187" w:type="dxa"/>
            <w:gridSpan w:val="4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1FF9A" w14:textId="2C0D92AC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Data </w:t>
            </w:r>
            <w:proofErr w:type="gramStart"/>
            <w:r w:rsidR="00771DE6">
              <w:rPr>
                <w:rFonts w:ascii="Arial" w:hAnsi="Arial" w:cs="Arial"/>
                <w:color w:val="000000" w:themeColor="text1"/>
                <w:sz w:val="20"/>
                <w:szCs w:val="22"/>
              </w:rPr>
              <w:t>are</w:t>
            </w:r>
            <w:r w:rsidR="0045614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presented</w:t>
            </w:r>
            <w:proofErr w:type="gramEnd"/>
            <w:r w:rsidR="00456144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as median [interquartile range] or count (percentage), and</w:t>
            </w:r>
            <w:r w:rsidR="00456144"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correspond</w:t>
            </w:r>
            <w:r w:rsidR="00456144">
              <w:rPr>
                <w:rFonts w:ascii="Arial" w:hAnsi="Arial" w:cs="Arial"/>
                <w:color w:val="000000" w:themeColor="text1"/>
                <w:sz w:val="20"/>
                <w:szCs w:val="22"/>
              </w:rPr>
              <w:t>s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to that reported with the first filter circuit used in each included patients. </w:t>
            </w:r>
          </w:p>
          <w:p w14:paraId="56679A1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*: effluent flow rate corrected for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predilution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in CVVH mode. </w:t>
            </w:r>
          </w:p>
          <w:p w14:paraId="5F8EB0A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t>§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: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epoprostenol</w:t>
            </w:r>
            <w:proofErr w:type="spellEnd"/>
          </w:p>
          <w:p w14:paraId="001BEA2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CRRT: continuous renal replacement therapy, CVVH: continuous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veno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-venous hemofiltration; CVVHD: continuous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veno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-venous hemodialysis.</w:t>
            </w:r>
          </w:p>
          <w:p w14:paraId="49F1F0A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p values: Fisher’s test for categorical variables, Wilcoxon’s for continuous variables</w:t>
            </w:r>
          </w:p>
        </w:tc>
      </w:tr>
    </w:tbl>
    <w:p w14:paraId="6CB711DF" w14:textId="77777777" w:rsidR="00D6006F" w:rsidRPr="005519BE" w:rsidRDefault="00D6006F" w:rsidP="00D6006F">
      <w:pPr>
        <w:spacing w:after="240"/>
        <w:ind w:firstLine="0"/>
        <w:rPr>
          <w:rFonts w:ascii="Arial" w:hAnsi="Arial" w:cs="Arial"/>
          <w:color w:val="000000" w:themeColor="text1"/>
        </w:rPr>
      </w:pPr>
    </w:p>
    <w:p w14:paraId="46357632" w14:textId="77777777" w:rsidR="00D6006F" w:rsidRDefault="00D6006F" w:rsidP="00D6006F">
      <w:pPr>
        <w:ind w:firstLine="0"/>
      </w:pPr>
      <w:r w:rsidRPr="005519BE">
        <w:rPr>
          <w:rFonts w:ascii="Arial" w:hAnsi="Arial" w:cs="Arial"/>
          <w:color w:val="000000" w:themeColor="text1"/>
        </w:rPr>
        <w:br w:type="page"/>
      </w:r>
    </w:p>
    <w:tbl>
      <w:tblPr>
        <w:tblW w:w="8928" w:type="dxa"/>
        <w:tblInd w:w="-286" w:type="dxa"/>
        <w:tblLayout w:type="fixed"/>
        <w:tblLook w:val="0000" w:firstRow="0" w:lastRow="0" w:firstColumn="0" w:lastColumn="0" w:noHBand="0" w:noVBand="0"/>
      </w:tblPr>
      <w:tblGrid>
        <w:gridCol w:w="5384"/>
        <w:gridCol w:w="2552"/>
        <w:gridCol w:w="992"/>
      </w:tblGrid>
      <w:tr w:rsidR="00D6006F" w:rsidRPr="005519BE" w14:paraId="1A75C092" w14:textId="77777777" w:rsidTr="00025E3F">
        <w:tc>
          <w:tcPr>
            <w:tcW w:w="8928" w:type="dxa"/>
            <w:gridSpan w:val="3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044272" w14:textId="2BAACDDE" w:rsidR="00D6006F" w:rsidRPr="005519BE" w:rsidRDefault="00D6006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color w:val="000000" w:themeColor="text1"/>
                <w:sz w:val="21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lastRenderedPageBreak/>
              <w:t>e-Table</w:t>
            </w:r>
            <w:proofErr w:type="gramEnd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 xml:space="preserve"> 4</w:t>
            </w:r>
            <w:r w:rsidRPr="005519BE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 xml:space="preserve">. </w:t>
            </w:r>
            <w:r w:rsidR="005D2CA6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>M</w:t>
            </w:r>
            <w:r w:rsidR="005D2CA6" w:rsidRPr="005F1966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 xml:space="preserve">ultivariate 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 xml:space="preserve">Cox regression analysis of variables associated with shorter </w:t>
            </w:r>
            <w:r w:rsidR="00771DE6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>circuit survival</w:t>
            </w:r>
            <w:r w:rsidRPr="005F1966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 xml:space="preserve">, after exclusion of </w:t>
            </w:r>
            <w:r w:rsidR="00771DE6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>circuits</w:t>
            </w:r>
            <w:r w:rsidR="00771DE6" w:rsidRPr="005F1966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 xml:space="preserve"> </w:t>
            </w:r>
            <w:r w:rsidR="0099419B">
              <w:rPr>
                <w:rFonts w:ascii="Arial" w:hAnsi="Arial" w:cs="Arial"/>
                <w:b/>
                <w:bCs/>
                <w:color w:val="000000" w:themeColor="text1"/>
                <w:sz w:val="21"/>
                <w:szCs w:val="22"/>
              </w:rPr>
              <w:t>electively stopped</w:t>
            </w:r>
          </w:p>
        </w:tc>
      </w:tr>
      <w:tr w:rsidR="00D6006F" w:rsidRPr="005519BE" w14:paraId="7CE81265" w14:textId="77777777" w:rsidTr="00025E3F">
        <w:tc>
          <w:tcPr>
            <w:tcW w:w="5384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32695A8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Variables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21348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Hazard ratio [95% CI]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6A73C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</w:tr>
      <w:tr w:rsidR="00D6006F" w:rsidRPr="005519BE" w14:paraId="46D82BEB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6B7F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Gender: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9D0BC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A757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2FD5BA30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19B53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436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Female 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A709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21CF7C0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D6006F" w:rsidRPr="005519BE" w14:paraId="048DA7F6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48C45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436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FBD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1.31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0.89;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1.92]</w:t>
            </w:r>
          </w:p>
        </w:tc>
        <w:tc>
          <w:tcPr>
            <w:tcW w:w="992" w:type="dxa"/>
            <w:vAlign w:val="center"/>
          </w:tcPr>
          <w:p w14:paraId="1FEA8F7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0.17</w:t>
            </w:r>
          </w:p>
        </w:tc>
      </w:tr>
      <w:tr w:rsidR="00D6006F" w:rsidRPr="005519BE" w14:paraId="4A03A7AF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714DE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APACHE III score (per 1 point increase)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65FF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0.98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0.97;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0.99]</w:t>
            </w:r>
          </w:p>
        </w:tc>
        <w:tc>
          <w:tcPr>
            <w:tcW w:w="992" w:type="dxa"/>
            <w:vAlign w:val="center"/>
          </w:tcPr>
          <w:p w14:paraId="475CB11E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0.02</w:t>
            </w:r>
          </w:p>
        </w:tc>
      </w:tr>
      <w:tr w:rsidR="00D6006F" w:rsidRPr="005519BE" w14:paraId="7F738897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4D1F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Platelets (per 100 G/l increase)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7F86D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1.27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1.12;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1.45]</w:t>
            </w:r>
          </w:p>
        </w:tc>
        <w:tc>
          <w:tcPr>
            <w:tcW w:w="992" w:type="dxa"/>
            <w:vAlign w:val="center"/>
          </w:tcPr>
          <w:p w14:paraId="6E42459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&lt;0.01</w:t>
            </w:r>
          </w:p>
        </w:tc>
      </w:tr>
      <w:tr w:rsidR="00D6006F" w:rsidRPr="005519BE" w14:paraId="7AE4891F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BFC9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PTT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(per 1 sec increase)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72BAB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0.99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0.98;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0.99]</w:t>
            </w:r>
          </w:p>
        </w:tc>
        <w:tc>
          <w:tcPr>
            <w:tcW w:w="992" w:type="dxa"/>
            <w:vAlign w:val="center"/>
          </w:tcPr>
          <w:p w14:paraId="3DC2F2AC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&lt;0.01</w:t>
            </w:r>
          </w:p>
        </w:tc>
      </w:tr>
      <w:tr w:rsidR="00D6006F" w:rsidRPr="005519BE" w14:paraId="16EFFF7D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6D65E5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CRRT mode: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AD0F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5E83B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313FED1C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92991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436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CVVHD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C5A4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3E8FE48E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D6006F" w:rsidRPr="005519BE" w14:paraId="4DB2E578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78169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436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CVVH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08CE98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1.81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1.09;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2.98]</w:t>
            </w:r>
          </w:p>
        </w:tc>
        <w:tc>
          <w:tcPr>
            <w:tcW w:w="992" w:type="dxa"/>
            <w:vAlign w:val="center"/>
          </w:tcPr>
          <w:p w14:paraId="3AEA685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0.02</w:t>
            </w:r>
          </w:p>
        </w:tc>
      </w:tr>
      <w:tr w:rsidR="00D6006F" w:rsidRPr="005519BE" w14:paraId="64C1F84D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1A0814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Anticoagulation agent: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DF2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DE1A69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6006F" w:rsidRPr="005519BE" w14:paraId="7B88B792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F9A5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461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Heparin and others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t>§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F979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14:paraId="6157ACB0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D6006F" w:rsidRPr="005519BE" w14:paraId="3C14CBCD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761DC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461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None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21EA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2.22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1.53;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3.20]</w:t>
            </w:r>
          </w:p>
        </w:tc>
        <w:tc>
          <w:tcPr>
            <w:tcW w:w="992" w:type="dxa"/>
            <w:vAlign w:val="center"/>
          </w:tcPr>
          <w:p w14:paraId="040E8519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&lt;0.01</w:t>
            </w:r>
          </w:p>
        </w:tc>
      </w:tr>
      <w:tr w:rsidR="00D6006F" w:rsidRPr="005519BE" w14:paraId="02730A30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B4866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left="461"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</w:rPr>
              <w:t>Citrate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52B1F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0.55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0.29;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1.04]</w:t>
            </w:r>
          </w:p>
        </w:tc>
        <w:tc>
          <w:tcPr>
            <w:tcW w:w="992" w:type="dxa"/>
            <w:vAlign w:val="center"/>
          </w:tcPr>
          <w:p w14:paraId="09043BB3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0.06</w:t>
            </w:r>
          </w:p>
        </w:tc>
      </w:tr>
      <w:tr w:rsidR="00D6006F" w:rsidRPr="005519BE" w14:paraId="12704E28" w14:textId="77777777" w:rsidTr="00025E3F">
        <w:tc>
          <w:tcPr>
            <w:tcW w:w="53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5A83D8" w14:textId="77777777" w:rsidR="00D6006F" w:rsidRPr="004641BB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 w:rsidRPr="004641B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Transmembrane</w:t>
            </w:r>
            <w:proofErr w:type="spellEnd"/>
            <w:r w:rsidRPr="004641B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pressure (per 10 </w:t>
            </w:r>
            <w:proofErr w:type="spellStart"/>
            <w:r w:rsidRPr="004641B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mmHg</w:t>
            </w:r>
            <w:proofErr w:type="spellEnd"/>
            <w:r w:rsidRPr="004641B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641B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increase</w:t>
            </w:r>
            <w:proofErr w:type="spellEnd"/>
            <w:r w:rsidRPr="004641BB">
              <w:rPr>
                <w:rFonts w:ascii="Arial" w:hAnsi="Arial" w:cs="Arial"/>
                <w:color w:val="000000" w:themeColor="text1"/>
                <w:sz w:val="22"/>
                <w:szCs w:val="22"/>
                <w:lang w:val="it-IT"/>
              </w:rPr>
              <w:t>)</w:t>
            </w:r>
          </w:p>
        </w:tc>
        <w:tc>
          <w:tcPr>
            <w:tcW w:w="255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80B5FC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0.60 [</w:t>
            </w:r>
            <w:proofErr w:type="gramStart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0.33;</w:t>
            </w:r>
            <w:proofErr w:type="gramEnd"/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1.08]</w:t>
            </w:r>
          </w:p>
        </w:tc>
        <w:tc>
          <w:tcPr>
            <w:tcW w:w="992" w:type="dxa"/>
            <w:vAlign w:val="center"/>
          </w:tcPr>
          <w:p w14:paraId="25D25E17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0.09</w:t>
            </w:r>
          </w:p>
        </w:tc>
      </w:tr>
      <w:tr w:rsidR="00D6006F" w:rsidRPr="005519BE" w14:paraId="5069D50C" w14:textId="77777777" w:rsidTr="00025E3F">
        <w:trPr>
          <w:trHeight w:val="460"/>
        </w:trPr>
        <w:tc>
          <w:tcPr>
            <w:tcW w:w="8928" w:type="dxa"/>
            <w:gridSpan w:val="3"/>
            <w:tcBorders>
              <w:top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73180A" w14:textId="77777777" w:rsidR="00D6006F" w:rsidRPr="005519BE" w:rsidRDefault="00D6006F" w:rsidP="00025E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 w:cs="Arial"/>
                <w:color w:val="000000" w:themeColor="text1"/>
                <w:sz w:val="16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  <w:vertAlign w:val="superscript"/>
              </w:rPr>
              <w:t>§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: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epoprostenol</w:t>
            </w:r>
            <w:proofErr w:type="spellEnd"/>
          </w:p>
          <w:p w14:paraId="4F6E2AB9" w14:textId="119DCC7A" w:rsidR="00D6006F" w:rsidRPr="005519BE" w:rsidRDefault="00D60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1"/>
                <w:szCs w:val="22"/>
              </w:rPr>
            </w:pPr>
            <w:r w:rsidRPr="005519BE">
              <w:rPr>
                <w:rFonts w:ascii="Arial" w:hAnsi="Arial" w:cs="Arial"/>
                <w:color w:val="000000" w:themeColor="text1"/>
                <w:sz w:val="21"/>
                <w:szCs w:val="22"/>
              </w:rPr>
              <w:t xml:space="preserve">Sensitivity analysis accounting for the within-patient repetition of </w:t>
            </w:r>
            <w:r w:rsidR="00771DE6">
              <w:rPr>
                <w:rFonts w:ascii="Arial" w:hAnsi="Arial" w:cs="Arial"/>
                <w:color w:val="000000" w:themeColor="text1"/>
                <w:sz w:val="21"/>
                <w:szCs w:val="22"/>
              </w:rPr>
              <w:t>circuit</w:t>
            </w:r>
            <w:r w:rsidR="00771DE6" w:rsidRPr="005519BE">
              <w:rPr>
                <w:rFonts w:ascii="Arial" w:hAnsi="Arial" w:cs="Arial"/>
                <w:color w:val="000000" w:themeColor="text1"/>
                <w:sz w:val="21"/>
                <w:szCs w:val="22"/>
              </w:rPr>
              <w:t xml:space="preserve"> </w:t>
            </w:r>
            <w:r w:rsidRPr="005519BE">
              <w:rPr>
                <w:rFonts w:ascii="Arial" w:hAnsi="Arial" w:cs="Arial"/>
                <w:color w:val="000000" w:themeColor="text1"/>
                <w:sz w:val="21"/>
                <w:szCs w:val="22"/>
              </w:rPr>
              <w:t>use. 95% CI: 95% confidence interval.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CRRT: continuous renal replacement therapy, CVVH: continuous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veno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-venous hemofiltration; CVVHD: continuous </w:t>
            </w:r>
            <w:proofErr w:type="spellStart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veno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-venous hemodialysis; INR: international normalized index;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a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>PTT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activated </w:t>
            </w:r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partial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thromboplastin</w:t>
            </w:r>
            <w:proofErr w:type="spellEnd"/>
            <w:r w:rsidRPr="005519BE">
              <w:rPr>
                <w:rFonts w:ascii="Arial" w:hAnsi="Arial" w:cs="Arial"/>
                <w:color w:val="000000" w:themeColor="text1"/>
                <w:sz w:val="20"/>
                <w:szCs w:val="22"/>
              </w:rPr>
              <w:t xml:space="preserve"> time.</w:t>
            </w:r>
          </w:p>
        </w:tc>
      </w:tr>
    </w:tbl>
    <w:p w14:paraId="071EFF09" w14:textId="77777777" w:rsidR="00D6006F" w:rsidRDefault="00D6006F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4D6C4632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4DCDC973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6AB62015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67F9C7A1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746C4AF2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79840F7C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5A5305B3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3E0E9565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508616B6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432227D9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105F809C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3AD58CCE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2D879427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454B636D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78321C78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357B1990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4E90676D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14DCB0B1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717345F2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6E4F5856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74FCCC28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2131108C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725481A1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2EFDF53A" w14:textId="5FB56FBC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b/>
          <w:color w:val="000000" w:themeColor="text1"/>
        </w:rPr>
      </w:pPr>
      <w:r w:rsidRPr="00B75F9C">
        <w:rPr>
          <w:rFonts w:ascii="Arial" w:hAnsi="Arial" w:cs="Arial"/>
          <w:b/>
          <w:color w:val="000000" w:themeColor="text1"/>
        </w:rPr>
        <w:lastRenderedPageBreak/>
        <w:t>FIGURES</w:t>
      </w:r>
    </w:p>
    <w:p w14:paraId="4E8C6BF1" w14:textId="77777777" w:rsidR="00B75F9C" w:rsidRDefault="00B75F9C" w:rsidP="00D6006F">
      <w:pPr>
        <w:spacing w:line="240" w:lineRule="auto"/>
        <w:ind w:firstLine="0"/>
        <w:jc w:val="left"/>
        <w:rPr>
          <w:rFonts w:ascii="Arial" w:hAnsi="Arial" w:cs="Arial"/>
          <w:b/>
          <w:color w:val="000000" w:themeColor="text1"/>
        </w:rPr>
      </w:pPr>
    </w:p>
    <w:p w14:paraId="11F30128" w14:textId="77777777" w:rsidR="00B75F9C" w:rsidRPr="005519BE" w:rsidRDefault="00B75F9C" w:rsidP="00B75F9C">
      <w:pPr>
        <w:spacing w:after="240"/>
        <w:ind w:firstLine="0"/>
        <w:rPr>
          <w:rFonts w:ascii="Arial" w:hAnsi="Arial" w:cs="Arial"/>
          <w:b/>
          <w:color w:val="000000" w:themeColor="text1"/>
        </w:rPr>
      </w:pPr>
    </w:p>
    <w:p w14:paraId="328008A4" w14:textId="77777777" w:rsidR="00B75F9C" w:rsidRPr="005519BE" w:rsidRDefault="00B75F9C" w:rsidP="00B75F9C">
      <w:pPr>
        <w:spacing w:after="240"/>
        <w:ind w:firstLine="0"/>
        <w:rPr>
          <w:rFonts w:ascii="Arial" w:hAnsi="Arial" w:cs="Arial"/>
          <w:color w:val="000000" w:themeColor="text1"/>
        </w:rPr>
      </w:pPr>
      <w:r w:rsidRPr="005519BE">
        <w:rPr>
          <w:rFonts w:ascii="Arial" w:hAnsi="Arial" w:cs="Arial"/>
          <w:noProof/>
          <w:color w:val="000000" w:themeColor="text1"/>
          <w:lang w:val="it-IT" w:eastAsia="it-IT"/>
        </w:rPr>
        <w:drawing>
          <wp:inline distT="0" distB="0" distL="0" distR="0" wp14:anchorId="3EC2DAF7" wp14:editId="54571ACF">
            <wp:extent cx="5756433" cy="2558415"/>
            <wp:effectExtent l="0" t="0" r="952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RT Life - Figure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33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3C63" w14:textId="6DBA2AE6" w:rsidR="00B75F9C" w:rsidRPr="005519BE" w:rsidRDefault="00B75F9C" w:rsidP="00B75F9C">
      <w:pPr>
        <w:ind w:firstLine="0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e-Figure</w:t>
      </w:r>
      <w:proofErr w:type="gramEnd"/>
      <w:r>
        <w:rPr>
          <w:rFonts w:ascii="Arial" w:hAnsi="Arial" w:cs="Arial"/>
          <w:b/>
          <w:color w:val="000000" w:themeColor="text1"/>
        </w:rPr>
        <w:t xml:space="preserve"> 1. First circuit </w:t>
      </w:r>
      <w:r w:rsidR="00771DE6">
        <w:rPr>
          <w:rFonts w:ascii="Arial" w:hAnsi="Arial" w:cs="Arial"/>
          <w:b/>
          <w:color w:val="000000" w:themeColor="text1"/>
        </w:rPr>
        <w:t>survival</w:t>
      </w:r>
    </w:p>
    <w:p w14:paraId="2691A6BD" w14:textId="12D5BD60" w:rsidR="00B75F9C" w:rsidRPr="00874E48" w:rsidRDefault="00B75F9C" w:rsidP="00B75F9C">
      <w:pPr>
        <w:ind w:firstLine="0"/>
        <w:rPr>
          <w:rFonts w:ascii="Arial" w:hAnsi="Arial" w:cs="Arial"/>
        </w:rPr>
      </w:pPr>
      <w:r w:rsidRPr="00874E48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circuit</w:t>
      </w:r>
      <w:r w:rsidRPr="00874E48">
        <w:rPr>
          <w:rFonts w:ascii="Arial" w:hAnsi="Arial" w:cs="Arial"/>
        </w:rPr>
        <w:t xml:space="preserve"> </w:t>
      </w:r>
      <w:r w:rsidR="00771DE6">
        <w:rPr>
          <w:rFonts w:ascii="Arial" w:hAnsi="Arial" w:cs="Arial"/>
        </w:rPr>
        <w:t>survival</w:t>
      </w:r>
      <w:r w:rsidR="00771DE6" w:rsidRPr="00874E48">
        <w:rPr>
          <w:rFonts w:ascii="Arial" w:hAnsi="Arial" w:cs="Arial"/>
        </w:rPr>
        <w:t xml:space="preserve"> </w:t>
      </w:r>
      <w:r w:rsidRPr="00874E48">
        <w:rPr>
          <w:rFonts w:ascii="Arial" w:hAnsi="Arial" w:cs="Arial"/>
        </w:rPr>
        <w:t>is shown</w:t>
      </w:r>
      <w:r>
        <w:rPr>
          <w:rFonts w:ascii="Arial" w:hAnsi="Arial" w:cs="Arial"/>
        </w:rPr>
        <w:t xml:space="preserve"> according to</w:t>
      </w:r>
      <w:r w:rsidRPr="00874E48">
        <w:rPr>
          <w:rFonts w:ascii="Arial" w:hAnsi="Arial" w:cs="Arial"/>
        </w:rPr>
        <w:t xml:space="preserve"> CRRT</w:t>
      </w:r>
      <w:r w:rsidR="0099419B">
        <w:rPr>
          <w:rFonts w:ascii="Arial" w:hAnsi="Arial" w:cs="Arial"/>
        </w:rPr>
        <w:t xml:space="preserve"> technique</w:t>
      </w:r>
      <w:r w:rsidRPr="00874E48">
        <w:rPr>
          <w:rFonts w:ascii="Arial" w:hAnsi="Arial" w:cs="Arial"/>
        </w:rPr>
        <w:t xml:space="preserve"> (panel A) and anticoagulation mode (panel B). P values are from </w:t>
      </w:r>
      <w:r>
        <w:rPr>
          <w:rFonts w:ascii="Arial" w:hAnsi="Arial" w:cs="Arial"/>
        </w:rPr>
        <w:t>log rank</w:t>
      </w:r>
      <w:r w:rsidRPr="00874E48">
        <w:rPr>
          <w:rFonts w:ascii="Arial" w:hAnsi="Arial" w:cs="Arial"/>
        </w:rPr>
        <w:t xml:space="preserve"> unadjusted analysis. </w:t>
      </w:r>
    </w:p>
    <w:p w14:paraId="3CB67568" w14:textId="77777777" w:rsidR="00B75F9C" w:rsidRDefault="00B75F9C" w:rsidP="00B75F9C">
      <w:pPr>
        <w:ind w:firstLine="0"/>
        <w:rPr>
          <w:rFonts w:ascii="Arial" w:hAnsi="Arial" w:cs="Arial"/>
        </w:rPr>
      </w:pPr>
    </w:p>
    <w:p w14:paraId="1C1797DF" w14:textId="77777777" w:rsidR="00B75F9C" w:rsidRDefault="00B75F9C" w:rsidP="00B75F9C">
      <w:pPr>
        <w:ind w:firstLine="0"/>
        <w:rPr>
          <w:rFonts w:ascii="Arial" w:hAnsi="Arial" w:cs="Arial"/>
        </w:rPr>
      </w:pPr>
    </w:p>
    <w:p w14:paraId="5029F43E" w14:textId="77777777" w:rsidR="00B75F9C" w:rsidRDefault="00B75F9C" w:rsidP="00B75F9C">
      <w:pPr>
        <w:ind w:firstLine="0"/>
        <w:rPr>
          <w:rFonts w:ascii="Arial" w:hAnsi="Arial" w:cs="Arial"/>
        </w:rPr>
      </w:pPr>
    </w:p>
    <w:p w14:paraId="6993AD01" w14:textId="77777777" w:rsidR="00B75F9C" w:rsidRPr="005519BE" w:rsidRDefault="00B75F9C" w:rsidP="00B75F9C">
      <w:pPr>
        <w:spacing w:line="240" w:lineRule="auto"/>
        <w:ind w:firstLine="0"/>
        <w:jc w:val="left"/>
        <w:rPr>
          <w:rFonts w:ascii="Arial" w:hAnsi="Arial" w:cs="Arial"/>
          <w:color w:val="000000" w:themeColor="text1"/>
        </w:rPr>
      </w:pPr>
    </w:p>
    <w:p w14:paraId="6160F1ED" w14:textId="77777777" w:rsidR="00B75F9C" w:rsidRPr="005519BE" w:rsidRDefault="00B75F9C" w:rsidP="00B75F9C">
      <w:pPr>
        <w:ind w:firstLine="0"/>
        <w:jc w:val="center"/>
        <w:rPr>
          <w:rFonts w:ascii="Arial" w:hAnsi="Arial" w:cs="Arial"/>
          <w:color w:val="000000" w:themeColor="text1"/>
        </w:rPr>
      </w:pPr>
      <w:r w:rsidRPr="005519BE">
        <w:rPr>
          <w:rFonts w:ascii="Arial" w:hAnsi="Arial" w:cs="Arial"/>
          <w:noProof/>
          <w:color w:val="000000" w:themeColor="text1"/>
          <w:lang w:val="it-IT" w:eastAsia="it-IT"/>
        </w:rPr>
        <w:drawing>
          <wp:inline distT="0" distB="0" distL="0" distR="0" wp14:anchorId="439F2DEB" wp14:editId="4CB17945">
            <wp:extent cx="5950557" cy="264469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RT Life - Figure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064" cy="266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E06E2" w14:textId="44F0D7F4" w:rsidR="00B75F9C" w:rsidRPr="005519BE" w:rsidRDefault="00B75F9C" w:rsidP="00B75F9C">
      <w:pPr>
        <w:ind w:firstLine="0"/>
        <w:rPr>
          <w:rFonts w:ascii="Arial" w:hAnsi="Arial" w:cs="Arial"/>
          <w:b/>
          <w:color w:val="000000" w:themeColor="text1"/>
        </w:rPr>
      </w:pPr>
      <w:proofErr w:type="gramStart"/>
      <w:r>
        <w:rPr>
          <w:rFonts w:ascii="Arial" w:hAnsi="Arial" w:cs="Arial"/>
          <w:b/>
          <w:color w:val="000000" w:themeColor="text1"/>
        </w:rPr>
        <w:t>e-Figure</w:t>
      </w:r>
      <w:proofErr w:type="gramEnd"/>
      <w:r>
        <w:rPr>
          <w:rFonts w:ascii="Arial" w:hAnsi="Arial" w:cs="Arial"/>
          <w:b/>
          <w:color w:val="000000" w:themeColor="text1"/>
        </w:rPr>
        <w:t xml:space="preserve"> 2. Lifespan of all circuits</w:t>
      </w:r>
    </w:p>
    <w:p w14:paraId="7C15E4EC" w14:textId="1362AA0B" w:rsidR="00B75F9C" w:rsidRPr="00B75F9C" w:rsidRDefault="00B75F9C" w:rsidP="00B75F9C">
      <w:pPr>
        <w:ind w:firstLine="0"/>
        <w:rPr>
          <w:rFonts w:ascii="Arial" w:hAnsi="Arial" w:cs="Arial"/>
          <w:color w:val="000000" w:themeColor="text1"/>
        </w:rPr>
      </w:pPr>
      <w:r w:rsidRPr="00874E48">
        <w:rPr>
          <w:rFonts w:ascii="Arial" w:hAnsi="Arial" w:cs="Arial"/>
          <w:color w:val="000000" w:themeColor="text1"/>
        </w:rPr>
        <w:t xml:space="preserve">All </w:t>
      </w:r>
      <w:r w:rsidR="00771DE6">
        <w:rPr>
          <w:rFonts w:ascii="Arial" w:hAnsi="Arial" w:cs="Arial"/>
          <w:color w:val="000000" w:themeColor="text1"/>
        </w:rPr>
        <w:t>circuits</w:t>
      </w:r>
      <w:r w:rsidR="00771DE6" w:rsidRPr="00874E48">
        <w:rPr>
          <w:rFonts w:ascii="Arial" w:hAnsi="Arial" w:cs="Arial"/>
          <w:color w:val="000000" w:themeColor="text1"/>
        </w:rPr>
        <w:t xml:space="preserve"> </w:t>
      </w:r>
      <w:r w:rsidR="00771DE6">
        <w:rPr>
          <w:rFonts w:ascii="Arial" w:hAnsi="Arial" w:cs="Arial"/>
          <w:color w:val="000000" w:themeColor="text1"/>
        </w:rPr>
        <w:t>survival</w:t>
      </w:r>
      <w:r w:rsidR="00771DE6" w:rsidRPr="00874E48">
        <w:rPr>
          <w:rFonts w:ascii="Arial" w:hAnsi="Arial" w:cs="Arial"/>
          <w:color w:val="000000" w:themeColor="text1"/>
        </w:rPr>
        <w:t xml:space="preserve"> </w:t>
      </w:r>
      <w:r w:rsidR="0099419B">
        <w:rPr>
          <w:rFonts w:ascii="Arial" w:hAnsi="Arial" w:cs="Arial"/>
          <w:color w:val="000000" w:themeColor="text1"/>
        </w:rPr>
        <w:t>is shown, based on CRRT technique</w:t>
      </w:r>
      <w:r w:rsidRPr="00874E48">
        <w:rPr>
          <w:rFonts w:ascii="Arial" w:hAnsi="Arial" w:cs="Arial"/>
          <w:color w:val="000000" w:themeColor="text1"/>
        </w:rPr>
        <w:t xml:space="preserve"> (panel A) and anticoagulation mode (panel B). </w:t>
      </w:r>
      <w:r w:rsidRPr="005519BE">
        <w:rPr>
          <w:rFonts w:ascii="Arial" w:hAnsi="Arial" w:cs="Arial"/>
          <w:color w:val="000000" w:themeColor="text1"/>
        </w:rPr>
        <w:t xml:space="preserve">The p value </w:t>
      </w:r>
      <w:proofErr w:type="gramStart"/>
      <w:r w:rsidRPr="005519BE">
        <w:rPr>
          <w:rFonts w:ascii="Arial" w:hAnsi="Arial" w:cs="Arial"/>
          <w:color w:val="000000" w:themeColor="text1"/>
        </w:rPr>
        <w:t>is extracted</w:t>
      </w:r>
      <w:proofErr w:type="gramEnd"/>
      <w:r w:rsidRPr="005519BE">
        <w:rPr>
          <w:rFonts w:ascii="Arial" w:hAnsi="Arial" w:cs="Arial"/>
          <w:color w:val="000000" w:themeColor="text1"/>
        </w:rPr>
        <w:t xml:space="preserve"> from </w:t>
      </w:r>
      <w:r>
        <w:rPr>
          <w:rFonts w:ascii="Arial" w:hAnsi="Arial" w:cs="Arial"/>
          <w:color w:val="000000" w:themeColor="text1"/>
        </w:rPr>
        <w:t>log-rank</w:t>
      </w:r>
      <w:r w:rsidRPr="005519BE">
        <w:rPr>
          <w:rFonts w:ascii="Arial" w:hAnsi="Arial" w:cs="Arial"/>
          <w:color w:val="000000" w:themeColor="text1"/>
        </w:rPr>
        <w:t xml:space="preserve"> analysis, accounting for </w:t>
      </w:r>
      <w:r w:rsidR="005D2CA6">
        <w:rPr>
          <w:rFonts w:ascii="Arial" w:hAnsi="Arial" w:cs="Arial"/>
          <w:color w:val="000000" w:themeColor="text1"/>
        </w:rPr>
        <w:t xml:space="preserve">the </w:t>
      </w:r>
      <w:r w:rsidRPr="005519BE">
        <w:rPr>
          <w:rFonts w:ascii="Arial" w:hAnsi="Arial" w:cs="Arial"/>
          <w:color w:val="000000" w:themeColor="text1"/>
        </w:rPr>
        <w:t>within</w:t>
      </w:r>
      <w:r w:rsidR="005D2CA6">
        <w:rPr>
          <w:rFonts w:ascii="Arial" w:hAnsi="Arial" w:cs="Arial"/>
          <w:color w:val="000000" w:themeColor="text1"/>
        </w:rPr>
        <w:t>-</w:t>
      </w:r>
      <w:r w:rsidRPr="005519BE">
        <w:rPr>
          <w:rFonts w:ascii="Arial" w:hAnsi="Arial" w:cs="Arial"/>
          <w:color w:val="000000" w:themeColor="text1"/>
        </w:rPr>
        <w:lastRenderedPageBreak/>
        <w:t xml:space="preserve">individual repetition of </w:t>
      </w:r>
      <w:r w:rsidR="00771DE6">
        <w:rPr>
          <w:rFonts w:ascii="Arial" w:hAnsi="Arial" w:cs="Arial"/>
          <w:color w:val="000000" w:themeColor="text1"/>
        </w:rPr>
        <w:t>circuits</w:t>
      </w:r>
      <w:r w:rsidRPr="005519BE">
        <w:rPr>
          <w:rFonts w:ascii="Arial" w:hAnsi="Arial" w:cs="Arial"/>
          <w:color w:val="000000" w:themeColor="text1"/>
        </w:rPr>
        <w:t>.</w:t>
      </w:r>
      <w:r w:rsidRPr="00874E48">
        <w:rPr>
          <w:rFonts w:ascii="Arial" w:hAnsi="Arial" w:cs="Arial"/>
          <w:color w:val="000000" w:themeColor="text1"/>
        </w:rPr>
        <w:t xml:space="preserve"> </w:t>
      </w:r>
      <w:r w:rsidR="00771DE6">
        <w:rPr>
          <w:rFonts w:ascii="Arial" w:hAnsi="Arial" w:cs="Arial"/>
          <w:color w:val="000000" w:themeColor="text1"/>
        </w:rPr>
        <w:t>Circuits</w:t>
      </w:r>
      <w:r w:rsidR="005D2CA6">
        <w:rPr>
          <w:rFonts w:ascii="Arial" w:hAnsi="Arial" w:cs="Arial"/>
          <w:color w:val="000000" w:themeColor="text1"/>
        </w:rPr>
        <w:t xml:space="preserve"> treated with n</w:t>
      </w:r>
      <w:r>
        <w:rPr>
          <w:rFonts w:ascii="Arial" w:hAnsi="Arial" w:cs="Arial"/>
          <w:color w:val="000000" w:themeColor="text1"/>
        </w:rPr>
        <w:t xml:space="preserve">o anticoagulation </w:t>
      </w:r>
      <w:r w:rsidR="005D2CA6">
        <w:rPr>
          <w:rFonts w:ascii="Arial" w:hAnsi="Arial" w:cs="Arial"/>
          <w:color w:val="000000" w:themeColor="text1"/>
        </w:rPr>
        <w:t>had a significantly</w:t>
      </w:r>
      <w:r>
        <w:rPr>
          <w:rFonts w:ascii="Arial" w:hAnsi="Arial" w:cs="Arial"/>
          <w:color w:val="000000" w:themeColor="text1"/>
        </w:rPr>
        <w:t xml:space="preserve"> decreased circuit </w:t>
      </w:r>
      <w:r w:rsidR="00771DE6">
        <w:rPr>
          <w:rFonts w:ascii="Arial" w:hAnsi="Arial" w:cs="Arial"/>
          <w:color w:val="000000" w:themeColor="text1"/>
        </w:rPr>
        <w:t>survival</w:t>
      </w:r>
      <w:r>
        <w:rPr>
          <w:rFonts w:ascii="Arial" w:hAnsi="Arial" w:cs="Arial"/>
          <w:color w:val="000000" w:themeColor="text1"/>
        </w:rPr>
        <w:t>.</w:t>
      </w:r>
    </w:p>
    <w:sectPr w:rsidR="00B75F9C" w:rsidRPr="00B75F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F5"/>
    <w:rsid w:val="000C37EB"/>
    <w:rsid w:val="00150DC1"/>
    <w:rsid w:val="002C42F6"/>
    <w:rsid w:val="00456144"/>
    <w:rsid w:val="005D2CA6"/>
    <w:rsid w:val="00771DE6"/>
    <w:rsid w:val="008E45F5"/>
    <w:rsid w:val="00964FD2"/>
    <w:rsid w:val="0099419B"/>
    <w:rsid w:val="00B439DC"/>
    <w:rsid w:val="00B75F9C"/>
    <w:rsid w:val="00B97DEA"/>
    <w:rsid w:val="00D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3F9E"/>
  <w15:chartTrackingRefBased/>
  <w15:docId w15:val="{3859DF48-A187-406B-9753-CC58629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06F"/>
    <w:pPr>
      <w:spacing w:after="0" w:line="360" w:lineRule="auto"/>
      <w:ind w:firstLine="709"/>
      <w:jc w:val="both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6006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006F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006F"/>
    <w:rPr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0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06F"/>
    <w:rPr>
      <w:rFonts w:ascii="Segoe UI" w:hAnsi="Segoe UI" w:cs="Segoe UI"/>
      <w:sz w:val="18"/>
      <w:szCs w:val="18"/>
      <w:lang w:val="en-US"/>
    </w:rPr>
  </w:style>
  <w:style w:type="table" w:styleId="Grigliatabella">
    <w:name w:val="Table Grid"/>
    <w:basedOn w:val="Tabellanormale"/>
    <w:uiPriority w:val="39"/>
    <w:rsid w:val="00D6006F"/>
    <w:pPr>
      <w:spacing w:after="0" w:line="240" w:lineRule="auto"/>
    </w:pPr>
    <w:rPr>
      <w:sz w:val="24"/>
      <w:szCs w:val="24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1DE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1DE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</dc:creator>
  <cp:keywords/>
  <dc:description/>
  <cp:lastModifiedBy>Alfonso</cp:lastModifiedBy>
  <cp:revision>6</cp:revision>
  <dcterms:created xsi:type="dcterms:W3CDTF">2019-04-15T09:06:00Z</dcterms:created>
  <dcterms:modified xsi:type="dcterms:W3CDTF">2019-09-10T19:32:00Z</dcterms:modified>
</cp:coreProperties>
</file>