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93" w:rsidRDefault="007B0E93" w:rsidP="007B0E93">
      <w:pPr>
        <w:widowControl/>
        <w:wordWrap/>
        <w:autoSpaceDE/>
        <w:spacing w:after="0"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Methods</w:t>
      </w:r>
    </w:p>
    <w:p w:rsidR="007B0E93" w:rsidRPr="003E17D9" w:rsidRDefault="007B0E93" w:rsidP="007B0E93">
      <w:pPr>
        <w:widowControl/>
        <w:wordWrap/>
        <w:autoSpaceDE/>
        <w:spacing w:after="0" w:line="48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3E17D9">
        <w:rPr>
          <w:rFonts w:ascii="Times New Roman" w:hAnsi="Times New Roman" w:hint="eastAsia"/>
          <w:bCs/>
          <w:i/>
          <w:sz w:val="24"/>
          <w:szCs w:val="24"/>
        </w:rPr>
        <w:t>S</w:t>
      </w:r>
      <w:r w:rsidRPr="003E17D9">
        <w:rPr>
          <w:rFonts w:ascii="Times New Roman" w:hAnsi="Times New Roman"/>
          <w:bCs/>
          <w:i/>
          <w:sz w:val="24"/>
          <w:szCs w:val="24"/>
        </w:rPr>
        <w:t xml:space="preserve">tudy </w:t>
      </w:r>
      <w:r w:rsidR="003E17D9" w:rsidRPr="003E17D9">
        <w:rPr>
          <w:rFonts w:ascii="Times New Roman" w:hAnsi="Times New Roman"/>
          <w:bCs/>
          <w:i/>
          <w:sz w:val="24"/>
          <w:szCs w:val="24"/>
        </w:rPr>
        <w:t>Population</w:t>
      </w:r>
    </w:p>
    <w:p w:rsidR="007B0E93" w:rsidRPr="00245B92" w:rsidRDefault="007B0E93" w:rsidP="007B0E93">
      <w:pPr>
        <w:widowControl/>
        <w:wordWrap/>
        <w:autoSpaceDE/>
        <w:spacing w:after="0" w:line="480" w:lineRule="auto"/>
        <w:ind w:firstLine="800"/>
        <w:jc w:val="left"/>
        <w:rPr>
          <w:rFonts w:ascii="Times New Roman" w:hAnsi="Times New Roman"/>
          <w:color w:val="FF0000"/>
          <w:sz w:val="24"/>
          <w:szCs w:val="24"/>
        </w:rPr>
      </w:pPr>
      <w:r w:rsidRPr="00DA3FF9">
        <w:rPr>
          <w:rFonts w:ascii="Times New Roman" w:hAnsi="Times New Roman"/>
          <w:sz w:val="24"/>
          <w:szCs w:val="24"/>
        </w:rPr>
        <w:t xml:space="preserve">The </w:t>
      </w:r>
      <w:r w:rsidR="00D07274">
        <w:rPr>
          <w:rFonts w:ascii="Times New Roman" w:hAnsi="Times New Roman"/>
          <w:sz w:val="24"/>
          <w:szCs w:val="24"/>
        </w:rPr>
        <w:t>National Health Insurance</w:t>
      </w:r>
      <w:r w:rsidRPr="00DA3FF9">
        <w:rPr>
          <w:rFonts w:ascii="Times New Roman" w:hAnsi="Times New Roman"/>
          <w:sz w:val="24"/>
          <w:szCs w:val="24"/>
        </w:rPr>
        <w:t xml:space="preserve"> </w:t>
      </w:r>
      <w:r w:rsidR="00571814">
        <w:rPr>
          <w:rFonts w:ascii="Times New Roman" w:hAnsi="Times New Roman"/>
          <w:sz w:val="24"/>
          <w:szCs w:val="24"/>
        </w:rPr>
        <w:t>Service</w:t>
      </w:r>
      <w:r w:rsidRPr="00DA3FF9">
        <w:rPr>
          <w:rFonts w:ascii="Times New Roman" w:hAnsi="Times New Roman"/>
          <w:sz w:val="24"/>
          <w:szCs w:val="24"/>
        </w:rPr>
        <w:t xml:space="preserve"> (NHIS) managed by the Korean government cover</w:t>
      </w:r>
      <w:r w:rsidR="00571814">
        <w:rPr>
          <w:rFonts w:ascii="Times New Roman" w:hAnsi="Times New Roman"/>
          <w:sz w:val="24"/>
          <w:szCs w:val="24"/>
        </w:rPr>
        <w:t>s</w:t>
      </w:r>
      <w:r w:rsidRPr="00DA3FF9">
        <w:rPr>
          <w:rFonts w:ascii="Times New Roman" w:hAnsi="Times New Roman"/>
          <w:sz w:val="24"/>
          <w:szCs w:val="24"/>
        </w:rPr>
        <w:t xml:space="preserve"> approximately 97.2 % of the Korean p</w:t>
      </w:r>
      <w:bookmarkStart w:id="0" w:name="_GoBack"/>
      <w:bookmarkEnd w:id="0"/>
      <w:r w:rsidRPr="00DA3FF9">
        <w:rPr>
          <w:rFonts w:ascii="Times New Roman" w:hAnsi="Times New Roman"/>
          <w:sz w:val="24"/>
          <w:szCs w:val="24"/>
        </w:rPr>
        <w:t>opulation and enrollees in this system are recommended to undergo a standardized medical health examination at least every 2 years</w:t>
      </w:r>
      <w:r w:rsidR="003E17D9">
        <w:rPr>
          <w:rFonts w:ascii="Times New Roman" w:hAnsi="Times New Roman"/>
          <w:sz w:val="24"/>
          <w:szCs w:val="24"/>
        </w:rPr>
        <w:t xml:space="preserve"> [8]</w:t>
      </w:r>
      <w:r w:rsidRPr="00DA3FF9">
        <w:rPr>
          <w:rFonts w:ascii="Times New Roman" w:hAnsi="Times New Roman"/>
          <w:sz w:val="24"/>
          <w:szCs w:val="24"/>
        </w:rPr>
        <w:t xml:space="preserve">. From the NHIS database, we selected subjects (age&gt;20 years) who had visited clinics or hospitals with a diagnostic code (ICD‐10) of </w:t>
      </w:r>
      <w:r w:rsidR="00571814">
        <w:rPr>
          <w:rFonts w:ascii="Times New Roman" w:hAnsi="Times New Roman"/>
          <w:sz w:val="24"/>
          <w:szCs w:val="24"/>
        </w:rPr>
        <w:t>herpes zoster (</w:t>
      </w:r>
      <w:r w:rsidRPr="00DA3FF9">
        <w:rPr>
          <w:rFonts w:ascii="Times New Roman" w:hAnsi="Times New Roman"/>
          <w:sz w:val="24"/>
          <w:szCs w:val="24"/>
        </w:rPr>
        <w:t>HZ</w:t>
      </w:r>
      <w:r w:rsidR="00571814">
        <w:rPr>
          <w:rFonts w:ascii="Times New Roman" w:hAnsi="Times New Roman"/>
          <w:sz w:val="24"/>
          <w:szCs w:val="24"/>
        </w:rPr>
        <w:t>;</w:t>
      </w:r>
      <w:r w:rsidRPr="00DA3FF9">
        <w:rPr>
          <w:rFonts w:ascii="Times New Roman" w:hAnsi="Times New Roman"/>
          <w:sz w:val="24"/>
          <w:szCs w:val="24"/>
        </w:rPr>
        <w:t xml:space="preserve"> B029) more than once </w:t>
      </w:r>
      <w:proofErr w:type="gramStart"/>
      <w:r w:rsidRPr="00DA3FF9">
        <w:rPr>
          <w:rFonts w:ascii="Times New Roman" w:hAnsi="Times New Roman"/>
          <w:sz w:val="24"/>
          <w:szCs w:val="24"/>
        </w:rPr>
        <w:t>in a given year</w:t>
      </w:r>
      <w:proofErr w:type="gramEnd"/>
      <w:r w:rsidRPr="00DA3FF9">
        <w:rPr>
          <w:rFonts w:ascii="Times New Roman" w:hAnsi="Times New Roman"/>
          <w:sz w:val="24"/>
          <w:szCs w:val="24"/>
        </w:rPr>
        <w:t xml:space="preserve"> from January 2010 to December 2015. We analyzed subjects with HZ</w:t>
      </w:r>
      <w:r w:rsidR="00571814" w:rsidRPr="00DA3FF9">
        <w:rPr>
          <w:rFonts w:ascii="Times New Roman" w:hAnsi="Times New Roman"/>
          <w:sz w:val="24"/>
          <w:szCs w:val="24"/>
        </w:rPr>
        <w:t xml:space="preserve"> (</w:t>
      </w:r>
      <w:r w:rsidR="00571814" w:rsidRPr="00571814">
        <w:rPr>
          <w:rFonts w:ascii="Times New Roman" w:hAnsi="Times New Roman"/>
          <w:i/>
          <w:iCs/>
          <w:sz w:val="24"/>
          <w:szCs w:val="24"/>
        </w:rPr>
        <w:t>n</w:t>
      </w:r>
      <w:r w:rsidR="00571814" w:rsidRPr="00DA3FF9">
        <w:rPr>
          <w:rFonts w:ascii="Times New Roman" w:hAnsi="Times New Roman"/>
          <w:sz w:val="24"/>
          <w:szCs w:val="24"/>
        </w:rPr>
        <w:t xml:space="preserve"> = 784,409)</w:t>
      </w:r>
      <w:r w:rsidRPr="00DA3FF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non-HZ</w:t>
      </w:r>
      <w:r w:rsidRPr="00DA3FF9">
        <w:rPr>
          <w:rFonts w:ascii="Times New Roman" w:hAnsi="Times New Roman"/>
          <w:sz w:val="24"/>
          <w:szCs w:val="24"/>
        </w:rPr>
        <w:t xml:space="preserve"> subjects (n = 784,409) randomly selected </w:t>
      </w:r>
      <w:r w:rsidR="002770DC">
        <w:rPr>
          <w:rFonts w:ascii="Times New Roman" w:hAnsi="Times New Roman"/>
          <w:sz w:val="24"/>
          <w:szCs w:val="24"/>
        </w:rPr>
        <w:t>with a 1:1 exact matching for</w:t>
      </w:r>
      <w:r w:rsidRPr="00DA3FF9">
        <w:rPr>
          <w:rFonts w:ascii="Times New Roman" w:hAnsi="Times New Roman"/>
          <w:sz w:val="24"/>
          <w:szCs w:val="24"/>
        </w:rPr>
        <w:t xml:space="preserve"> age</w:t>
      </w:r>
      <w:r w:rsidR="002770DC">
        <w:rPr>
          <w:rFonts w:ascii="Times New Roman" w:hAnsi="Times New Roman"/>
          <w:sz w:val="24"/>
          <w:szCs w:val="24"/>
        </w:rPr>
        <w:t>,</w:t>
      </w:r>
      <w:r w:rsidRPr="00DA3FF9">
        <w:rPr>
          <w:rFonts w:ascii="Times New Roman" w:hAnsi="Times New Roman"/>
          <w:sz w:val="24"/>
          <w:szCs w:val="24"/>
        </w:rPr>
        <w:t xml:space="preserve"> sex</w:t>
      </w:r>
      <w:r w:rsidR="002770DC">
        <w:rPr>
          <w:rFonts w:ascii="Times New Roman" w:hAnsi="Times New Roman"/>
          <w:sz w:val="24"/>
          <w:szCs w:val="24"/>
        </w:rPr>
        <w:t>, and index year</w:t>
      </w:r>
      <w:r w:rsidRPr="00DA3FF9">
        <w:rPr>
          <w:rFonts w:ascii="Times New Roman" w:hAnsi="Times New Roman"/>
          <w:sz w:val="24"/>
          <w:szCs w:val="24"/>
        </w:rPr>
        <w:t xml:space="preserve">. </w:t>
      </w:r>
      <w:r w:rsidR="007F35A1">
        <w:rPr>
          <w:rFonts w:ascii="Times New Roman" w:hAnsi="Times New Roman"/>
          <w:sz w:val="24"/>
          <w:szCs w:val="24"/>
        </w:rPr>
        <w:t>They</w:t>
      </w:r>
      <w:r w:rsidRPr="00DA3FF9">
        <w:rPr>
          <w:rFonts w:ascii="Times New Roman" w:hAnsi="Times New Roman"/>
          <w:sz w:val="24"/>
          <w:szCs w:val="24"/>
        </w:rPr>
        <w:t xml:space="preserve"> </w:t>
      </w:r>
      <w:r w:rsidR="007F35A1">
        <w:rPr>
          <w:rFonts w:ascii="Times New Roman" w:hAnsi="Times New Roman"/>
          <w:sz w:val="24"/>
          <w:szCs w:val="24"/>
        </w:rPr>
        <w:t>were</w:t>
      </w:r>
      <w:r w:rsidRPr="00DA3FF9">
        <w:rPr>
          <w:rFonts w:ascii="Times New Roman" w:hAnsi="Times New Roman"/>
          <w:sz w:val="24"/>
          <w:szCs w:val="24"/>
        </w:rPr>
        <w:t xml:space="preserve"> followed up for </w:t>
      </w:r>
      <w:r w:rsidR="007F35A1">
        <w:rPr>
          <w:rFonts w:ascii="Times New Roman" w:hAnsi="Times New Roman"/>
          <w:sz w:val="24"/>
          <w:szCs w:val="24"/>
        </w:rPr>
        <w:t xml:space="preserve">the </w:t>
      </w:r>
      <w:r w:rsidRPr="00DA3FF9">
        <w:rPr>
          <w:rFonts w:ascii="Times New Roman" w:hAnsi="Times New Roman"/>
          <w:sz w:val="24"/>
          <w:szCs w:val="24"/>
        </w:rPr>
        <w:t>development of cancer until 2015. Cancer information was collected from the NHIS database according to the cancer code (ICD‐10, C00</w:t>
      </w:r>
      <w:r w:rsidR="007F35A1">
        <w:rPr>
          <w:rFonts w:ascii="Times New Roman" w:hAnsi="Times New Roman"/>
          <w:sz w:val="24"/>
          <w:szCs w:val="24"/>
        </w:rPr>
        <w:t>–</w:t>
      </w:r>
      <w:r w:rsidRPr="00DA3FF9">
        <w:rPr>
          <w:rFonts w:ascii="Times New Roman" w:hAnsi="Times New Roman"/>
          <w:sz w:val="24"/>
          <w:szCs w:val="24"/>
        </w:rPr>
        <w:t>C96) which was also registered in the reliable rare incurable disease system. We had a 1‐year washout period between 2008 and 2009 to reduce confounding of previously diagnosed cancer.</w:t>
      </w:r>
      <w:r w:rsidRPr="00DA3FF9">
        <w:rPr>
          <w:rFonts w:ascii="Times New Roman" w:hAnsi="Times New Roman" w:hint="eastAsia"/>
          <w:sz w:val="24"/>
          <w:szCs w:val="24"/>
        </w:rPr>
        <w:t xml:space="preserve"> </w:t>
      </w:r>
      <w:r w:rsidRPr="007F35A1">
        <w:rPr>
          <w:rFonts w:ascii="Times New Roman" w:hAnsi="Times New Roman"/>
          <w:sz w:val="24"/>
          <w:szCs w:val="24"/>
        </w:rPr>
        <w:t>The HZ group with cancer was defined as HZ</w:t>
      </w:r>
      <w:r w:rsidRPr="007F35A1">
        <w:rPr>
          <w:rFonts w:ascii="Times New Roman" w:hAnsi="Times New Roman" w:hint="eastAsia"/>
          <w:sz w:val="24"/>
          <w:szCs w:val="24"/>
        </w:rPr>
        <w:t xml:space="preserve"> </w:t>
      </w:r>
      <w:r w:rsidRPr="007F35A1">
        <w:rPr>
          <w:rFonts w:ascii="Times New Roman" w:hAnsi="Times New Roman"/>
          <w:sz w:val="24"/>
          <w:szCs w:val="24"/>
        </w:rPr>
        <w:t>patient</w:t>
      </w:r>
      <w:r w:rsidR="007F35A1">
        <w:rPr>
          <w:rFonts w:ascii="Times New Roman" w:hAnsi="Times New Roman"/>
          <w:sz w:val="24"/>
          <w:szCs w:val="24"/>
        </w:rPr>
        <w:t>s</w:t>
      </w:r>
      <w:r w:rsidRPr="007F35A1">
        <w:rPr>
          <w:rFonts w:ascii="Times New Roman" w:hAnsi="Times New Roman"/>
          <w:sz w:val="24"/>
          <w:szCs w:val="24"/>
        </w:rPr>
        <w:t xml:space="preserve"> with a cancer diagnosis </w:t>
      </w:r>
      <w:r w:rsidR="007F35A1">
        <w:rPr>
          <w:rFonts w:ascii="Times New Roman" w:hAnsi="Times New Roman"/>
          <w:sz w:val="24"/>
          <w:szCs w:val="24"/>
        </w:rPr>
        <w:t>1</w:t>
      </w:r>
      <w:r w:rsidRPr="007F35A1">
        <w:rPr>
          <w:rFonts w:ascii="Times New Roman" w:hAnsi="Times New Roman"/>
          <w:sz w:val="24"/>
          <w:szCs w:val="24"/>
        </w:rPr>
        <w:t xml:space="preserve"> year or more after the resolution of HZ. </w:t>
      </w:r>
      <w:r w:rsidRPr="00DA3FF9">
        <w:rPr>
          <w:rFonts w:ascii="Times New Roman" w:hAnsi="Times New Roman"/>
          <w:sz w:val="24"/>
          <w:szCs w:val="24"/>
        </w:rPr>
        <w:t>The primary outcome was the occurrence of newly diagnosed cancer. As a secondary outcome, we examined which cancer types are most strongly associated with HZ.</w:t>
      </w:r>
      <w:r w:rsidRPr="00DA3FF9">
        <w:rPr>
          <w:rFonts w:ascii="Times New Roman" w:hAnsi="Times New Roman" w:hint="eastAsia"/>
          <w:sz w:val="24"/>
          <w:szCs w:val="24"/>
        </w:rPr>
        <w:t xml:space="preserve"> </w:t>
      </w:r>
    </w:p>
    <w:p w:rsidR="007B0E93" w:rsidRPr="00DA3FF9" w:rsidRDefault="007B0E93" w:rsidP="007B0E93">
      <w:pPr>
        <w:widowControl/>
        <w:wordWrap/>
        <w:autoSpaceDE/>
        <w:spacing w:after="0" w:line="480" w:lineRule="auto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7B0E93" w:rsidRPr="007F35A1" w:rsidRDefault="007B0E93" w:rsidP="007B0E93">
      <w:pPr>
        <w:widowControl/>
        <w:wordWrap/>
        <w:autoSpaceDE/>
        <w:spacing w:after="0" w:line="48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7F35A1">
        <w:rPr>
          <w:rFonts w:ascii="Times New Roman" w:hAnsi="Times New Roman" w:hint="eastAsia"/>
          <w:bCs/>
          <w:i/>
          <w:sz w:val="24"/>
          <w:szCs w:val="24"/>
        </w:rPr>
        <w:t>S</w:t>
      </w:r>
      <w:r w:rsidRPr="007F35A1">
        <w:rPr>
          <w:rFonts w:ascii="Times New Roman" w:hAnsi="Times New Roman"/>
          <w:bCs/>
          <w:i/>
          <w:sz w:val="24"/>
          <w:szCs w:val="24"/>
        </w:rPr>
        <w:t xml:space="preserve">tatistical </w:t>
      </w:r>
      <w:r w:rsidR="007F35A1" w:rsidRPr="007F35A1">
        <w:rPr>
          <w:rFonts w:ascii="Times New Roman" w:hAnsi="Times New Roman"/>
          <w:bCs/>
          <w:i/>
          <w:sz w:val="24"/>
          <w:szCs w:val="24"/>
        </w:rPr>
        <w:t>Analysis</w:t>
      </w:r>
    </w:p>
    <w:p w:rsidR="007B0E93" w:rsidRPr="007F35A1" w:rsidRDefault="007B0E93" w:rsidP="007B0E93">
      <w:pPr>
        <w:widowControl/>
        <w:wordWrap/>
        <w:autoSpaceDE/>
        <w:spacing w:after="0" w:line="480" w:lineRule="auto"/>
        <w:ind w:firstLine="800"/>
        <w:jc w:val="left"/>
        <w:rPr>
          <w:rFonts w:ascii="Times New Roman" w:hAnsi="Times New Roman"/>
          <w:sz w:val="24"/>
          <w:szCs w:val="24"/>
        </w:rPr>
      </w:pPr>
      <w:bookmarkStart w:id="1" w:name="_Hlk29475100"/>
      <w:r w:rsidRPr="007F35A1">
        <w:rPr>
          <w:rFonts w:ascii="Times New Roman" w:hAnsi="Times New Roman"/>
          <w:sz w:val="24"/>
          <w:szCs w:val="24"/>
        </w:rPr>
        <w:t xml:space="preserve">The clinical characteristics of the participants with and without </w:t>
      </w:r>
      <w:r w:rsidRPr="007F35A1">
        <w:rPr>
          <w:rFonts w:ascii="Times New Roman" w:hAnsi="Times New Roman" w:hint="eastAsia"/>
          <w:sz w:val="24"/>
          <w:szCs w:val="24"/>
        </w:rPr>
        <w:t>H</w:t>
      </w:r>
      <w:r w:rsidRPr="007F35A1">
        <w:rPr>
          <w:rFonts w:ascii="Times New Roman" w:hAnsi="Times New Roman"/>
          <w:sz w:val="24"/>
          <w:szCs w:val="24"/>
        </w:rPr>
        <w:t xml:space="preserve">Z were compared using the </w:t>
      </w:r>
      <w:r w:rsidR="007F35A1" w:rsidRPr="007F35A1">
        <w:rPr>
          <w:rFonts w:ascii="Times New Roman" w:hAnsi="Times New Roman"/>
          <w:sz w:val="24"/>
          <w:szCs w:val="24"/>
        </w:rPr>
        <w:t>Student</w:t>
      </w:r>
      <w:r w:rsidR="007F35A1">
        <w:rPr>
          <w:rFonts w:ascii="Times New Roman" w:hAnsi="Times New Roman"/>
          <w:sz w:val="24"/>
          <w:szCs w:val="24"/>
        </w:rPr>
        <w:t>’</w:t>
      </w:r>
      <w:r w:rsidR="007F35A1" w:rsidRPr="007F35A1">
        <w:rPr>
          <w:rFonts w:ascii="Times New Roman" w:hAnsi="Times New Roman"/>
          <w:sz w:val="24"/>
          <w:szCs w:val="24"/>
        </w:rPr>
        <w:t xml:space="preserve">s </w:t>
      </w:r>
      <w:r w:rsidRPr="007F35A1">
        <w:rPr>
          <w:rFonts w:ascii="Times New Roman" w:hAnsi="Times New Roman"/>
          <w:i/>
          <w:iCs/>
          <w:sz w:val="24"/>
          <w:szCs w:val="24"/>
        </w:rPr>
        <w:t>t</w:t>
      </w:r>
      <w:r w:rsidRPr="007F35A1">
        <w:rPr>
          <w:rFonts w:ascii="Times New Roman" w:hAnsi="Times New Roman"/>
          <w:sz w:val="24"/>
          <w:szCs w:val="24"/>
        </w:rPr>
        <w:t xml:space="preserve"> test and the </w:t>
      </w:r>
      <w:r w:rsidR="007F35A1">
        <w:rPr>
          <w:rFonts w:ascii="Times New Roman" w:hAnsi="Times New Roman"/>
          <w:sz w:val="24"/>
          <w:szCs w:val="24"/>
        </w:rPr>
        <w:t>χ</w:t>
      </w:r>
      <w:r w:rsidR="007F35A1">
        <w:rPr>
          <w:rFonts w:ascii="Times New Roman" w:hAnsi="Times New Roman"/>
          <w:sz w:val="24"/>
          <w:szCs w:val="24"/>
          <w:vertAlign w:val="superscript"/>
        </w:rPr>
        <w:t>2</w:t>
      </w:r>
      <w:r w:rsidRPr="007F35A1">
        <w:rPr>
          <w:rFonts w:ascii="Times New Roman" w:hAnsi="Times New Roman"/>
          <w:sz w:val="24"/>
          <w:szCs w:val="24"/>
        </w:rPr>
        <w:t xml:space="preserve"> test.</w:t>
      </w:r>
      <w:r w:rsidRPr="007F35A1">
        <w:rPr>
          <w:rFonts w:ascii="Times New Roman" w:hAnsi="Times New Roman" w:hint="eastAsia"/>
          <w:sz w:val="24"/>
          <w:szCs w:val="24"/>
        </w:rPr>
        <w:t xml:space="preserve"> </w:t>
      </w:r>
      <w:r w:rsidRPr="007F35A1">
        <w:rPr>
          <w:rFonts w:ascii="Times New Roman" w:hAnsi="Times New Roman"/>
          <w:sz w:val="24"/>
          <w:szCs w:val="24"/>
        </w:rPr>
        <w:t>The incidence rates of cancer were calculated by dividing the number of incident cases by the total follow-up period.</w:t>
      </w:r>
      <w:r w:rsidRPr="007F35A1">
        <w:t xml:space="preserve"> </w:t>
      </w:r>
      <w:bookmarkEnd w:id="1"/>
      <w:r w:rsidRPr="007F35A1">
        <w:rPr>
          <w:rFonts w:ascii="Times New Roman" w:hAnsi="Times New Roman"/>
          <w:sz w:val="24"/>
          <w:szCs w:val="24"/>
        </w:rPr>
        <w:t>Annual event rates were described as the number of events per 1</w:t>
      </w:r>
      <w:r w:rsidR="007F35A1">
        <w:rPr>
          <w:rFonts w:ascii="Times New Roman" w:hAnsi="Times New Roman"/>
          <w:sz w:val="24"/>
          <w:szCs w:val="24"/>
        </w:rPr>
        <w:t>,</w:t>
      </w:r>
      <w:r w:rsidRPr="007F35A1">
        <w:rPr>
          <w:rFonts w:ascii="Times New Roman" w:hAnsi="Times New Roman"/>
          <w:sz w:val="24"/>
          <w:szCs w:val="24"/>
        </w:rPr>
        <w:t>000 person-years. Hazard ratios and the corresponding 95% confidence intervals were calculated using the Cox proportional hazard</w:t>
      </w:r>
      <w:r w:rsidR="007F35A1">
        <w:rPr>
          <w:rFonts w:ascii="Times New Roman" w:hAnsi="Times New Roman"/>
          <w:sz w:val="24"/>
          <w:szCs w:val="24"/>
        </w:rPr>
        <w:t>s</w:t>
      </w:r>
      <w:r w:rsidRPr="007F35A1">
        <w:rPr>
          <w:rFonts w:ascii="Times New Roman" w:hAnsi="Times New Roman"/>
          <w:sz w:val="24"/>
          <w:szCs w:val="24"/>
        </w:rPr>
        <w:t xml:space="preserve"> model after adjusting for confounding variables including age, sex, income status, smoking, alcohol consumption, regular exercise, diabetes mellitus, hypertension, dyslipidemia</w:t>
      </w:r>
      <w:r w:rsidR="007F35A1">
        <w:rPr>
          <w:rFonts w:ascii="Times New Roman" w:hAnsi="Times New Roman"/>
          <w:sz w:val="24"/>
          <w:szCs w:val="24"/>
        </w:rPr>
        <w:t>,</w:t>
      </w:r>
      <w:r w:rsidRPr="007F35A1">
        <w:rPr>
          <w:rFonts w:ascii="Times New Roman" w:hAnsi="Times New Roman"/>
          <w:sz w:val="24"/>
          <w:szCs w:val="24"/>
        </w:rPr>
        <w:t xml:space="preserve"> and </w:t>
      </w:r>
      <w:r w:rsidRPr="007F35A1">
        <w:rPr>
          <w:rFonts w:ascii="Times New Roman" w:hAnsi="Times New Roman"/>
          <w:sz w:val="24"/>
          <w:szCs w:val="24"/>
        </w:rPr>
        <w:lastRenderedPageBreak/>
        <w:t>body mass index. In order to minimize the effect of variations between survey years, all analyses performed in this study were adjusted for survey year.</w:t>
      </w:r>
      <w:r w:rsidRPr="007F35A1">
        <w:rPr>
          <w:rFonts w:ascii="Times New Roman" w:hAnsi="Times New Roman" w:hint="eastAsia"/>
          <w:sz w:val="24"/>
          <w:szCs w:val="24"/>
        </w:rPr>
        <w:t xml:space="preserve"> </w:t>
      </w:r>
      <w:r w:rsidRPr="007F35A1">
        <w:rPr>
          <w:rFonts w:ascii="Times New Roman" w:hAnsi="Times New Roman"/>
          <w:sz w:val="24"/>
          <w:szCs w:val="24"/>
        </w:rPr>
        <w:t xml:space="preserve">All </w:t>
      </w:r>
      <w:r w:rsidRPr="007F35A1">
        <w:rPr>
          <w:rFonts w:ascii="Times New Roman" w:hAnsi="Times New Roman"/>
          <w:i/>
          <w:iCs/>
          <w:sz w:val="24"/>
          <w:szCs w:val="24"/>
        </w:rPr>
        <w:t>p</w:t>
      </w:r>
      <w:r w:rsidR="007F35A1">
        <w:rPr>
          <w:rFonts w:ascii="Times New Roman" w:hAnsi="Times New Roman"/>
          <w:sz w:val="24"/>
          <w:szCs w:val="24"/>
        </w:rPr>
        <w:t xml:space="preserve"> </w:t>
      </w:r>
      <w:r w:rsidRPr="007F35A1">
        <w:rPr>
          <w:rFonts w:ascii="Times New Roman" w:hAnsi="Times New Roman"/>
          <w:sz w:val="24"/>
          <w:szCs w:val="24"/>
        </w:rPr>
        <w:t xml:space="preserve">values were two-sided and the </w:t>
      </w:r>
      <w:r w:rsidRPr="007F35A1">
        <w:rPr>
          <w:rFonts w:ascii="Times New Roman" w:hAnsi="Times New Roman"/>
          <w:i/>
          <w:iCs/>
          <w:sz w:val="24"/>
          <w:szCs w:val="24"/>
        </w:rPr>
        <w:t>p</w:t>
      </w:r>
      <w:r w:rsidRPr="007F35A1">
        <w:rPr>
          <w:rFonts w:ascii="Times New Roman" w:hAnsi="Times New Roman"/>
          <w:sz w:val="24"/>
          <w:szCs w:val="24"/>
        </w:rPr>
        <w:t xml:space="preserve"> &lt; 0.05 was considered to indicate statistical significance. Statistical analyses were performed using SAS version 9.4 (SAS Institute Inc., Cary, NC, USA).</w:t>
      </w:r>
    </w:p>
    <w:p w:rsidR="000F6B1D" w:rsidRDefault="000F6B1D"/>
    <w:sectPr w:rsidR="000F6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93"/>
    <w:rsid w:val="000F6B1D"/>
    <w:rsid w:val="00171269"/>
    <w:rsid w:val="002770DC"/>
    <w:rsid w:val="00387B02"/>
    <w:rsid w:val="003E17D9"/>
    <w:rsid w:val="00571814"/>
    <w:rsid w:val="007B0E93"/>
    <w:rsid w:val="007F35A1"/>
    <w:rsid w:val="00D0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64C78"/>
  <w15:chartTrackingRefBased/>
  <w15:docId w15:val="{7035F731-D17C-4F8D-8C1E-DFB5ECE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B0E93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Vera Warren</cp:lastModifiedBy>
  <cp:revision>8</cp:revision>
  <dcterms:created xsi:type="dcterms:W3CDTF">2020-01-15T15:00:00Z</dcterms:created>
  <dcterms:modified xsi:type="dcterms:W3CDTF">2020-02-04T15:09:00Z</dcterms:modified>
</cp:coreProperties>
</file>