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30A" w:rsidRPr="005A730A" w:rsidRDefault="005A730A" w:rsidP="005A730A">
      <w:pPr>
        <w:adjustRightInd w:val="0"/>
        <w:spacing w:line="480" w:lineRule="auto"/>
        <w:ind w:right="57"/>
        <w:rPr>
          <w:rFonts w:ascii="Times New Roman" w:hAnsi="Times New Roman" w:cs="Times New Roman"/>
          <w:b/>
        </w:rPr>
      </w:pPr>
      <w:r w:rsidRPr="005A730A">
        <w:rPr>
          <w:rFonts w:ascii="Times New Roman" w:hAnsi="Times New Roman" w:cs="Times New Roman"/>
          <w:b/>
        </w:rPr>
        <w:t>Materials and Methods</w:t>
      </w:r>
    </w:p>
    <w:p w:rsidR="00F22C52" w:rsidRDefault="00F22C52" w:rsidP="005A730A">
      <w:pPr>
        <w:adjustRightInd w:val="0"/>
        <w:spacing w:line="480" w:lineRule="auto"/>
        <w:ind w:right="57"/>
        <w:rPr>
          <w:rFonts w:ascii="Times New Roman" w:hAnsi="Times New Roman" w:cs="Times New Roman"/>
        </w:rPr>
      </w:pPr>
    </w:p>
    <w:p w:rsidR="005A730A" w:rsidRPr="00113077" w:rsidRDefault="005A730A" w:rsidP="005A730A">
      <w:pPr>
        <w:adjustRightInd w:val="0"/>
        <w:spacing w:line="480" w:lineRule="auto"/>
        <w:ind w:right="57"/>
        <w:rPr>
          <w:rFonts w:ascii="Times New Roman" w:hAnsi="Times New Roman" w:cs="Times New Roman"/>
        </w:rPr>
      </w:pPr>
      <w:r w:rsidRPr="00113077">
        <w:rPr>
          <w:rFonts w:ascii="Times New Roman" w:hAnsi="Times New Roman" w:cs="Times New Roman"/>
        </w:rPr>
        <w:t xml:space="preserve">This study was approved by the Queensland University of Technology (QUT) Human Research Ethics Committee (approval </w:t>
      </w:r>
      <w:r w:rsidR="00631704">
        <w:rPr>
          <w:rFonts w:ascii="Times New Roman" w:hAnsi="Times New Roman" w:cs="Times New Roman"/>
        </w:rPr>
        <w:t>No.</w:t>
      </w:r>
      <w:r w:rsidRPr="00113077">
        <w:rPr>
          <w:rFonts w:ascii="Times New Roman" w:hAnsi="Times New Roman" w:cs="Times New Roman"/>
        </w:rPr>
        <w:t>: 1400000807). The trial was prospectively registered with the Australian and New Zealand Clinical Trials Registry (</w:t>
      </w:r>
      <w:r w:rsidR="00631704" w:rsidRPr="00113077">
        <w:rPr>
          <w:rFonts w:ascii="Times New Roman" w:hAnsi="Times New Roman" w:cs="Times New Roman"/>
        </w:rPr>
        <w:t>r</w:t>
      </w:r>
      <w:r w:rsidRPr="00113077">
        <w:rPr>
          <w:rFonts w:ascii="Times New Roman" w:hAnsi="Times New Roman" w:cs="Times New Roman"/>
        </w:rPr>
        <w:t>egistration N</w:t>
      </w:r>
      <w:r w:rsidR="00631704">
        <w:rPr>
          <w:rFonts w:ascii="Times New Roman" w:hAnsi="Times New Roman" w:cs="Times New Roman"/>
        </w:rPr>
        <w:t>o.</w:t>
      </w:r>
      <w:r w:rsidRPr="00113077">
        <w:rPr>
          <w:rFonts w:ascii="Times New Roman" w:hAnsi="Times New Roman" w:cs="Times New Roman"/>
        </w:rPr>
        <w:t>: ACTRN12616000989448). All participants provided written informed consent.</w:t>
      </w:r>
    </w:p>
    <w:p w:rsidR="005A730A" w:rsidRPr="00113077" w:rsidRDefault="005A730A" w:rsidP="005A730A">
      <w:pPr>
        <w:adjustRightInd w:val="0"/>
        <w:spacing w:line="480" w:lineRule="auto"/>
        <w:ind w:right="57"/>
        <w:rPr>
          <w:rFonts w:ascii="Times New Roman" w:hAnsi="Times New Roman" w:cs="Times New Roman"/>
        </w:rPr>
      </w:pPr>
    </w:p>
    <w:p w:rsidR="005A730A" w:rsidRPr="00113077" w:rsidRDefault="005A730A" w:rsidP="005A730A">
      <w:pPr>
        <w:adjustRightInd w:val="0"/>
        <w:spacing w:line="480" w:lineRule="auto"/>
        <w:ind w:right="57"/>
        <w:rPr>
          <w:rFonts w:ascii="Times New Roman" w:hAnsi="Times New Roman" w:cs="Times New Roman"/>
        </w:rPr>
      </w:pPr>
      <w:r w:rsidRPr="00113077">
        <w:rPr>
          <w:rFonts w:ascii="Times New Roman" w:hAnsi="Times New Roman" w:cs="Times New Roman"/>
        </w:rPr>
        <w:t>Data w</w:t>
      </w:r>
      <w:r w:rsidR="00631704">
        <w:rPr>
          <w:rFonts w:ascii="Times New Roman" w:hAnsi="Times New Roman" w:cs="Times New Roman"/>
        </w:rPr>
        <w:t>ere</w:t>
      </w:r>
      <w:r w:rsidRPr="00113077">
        <w:rPr>
          <w:rFonts w:ascii="Times New Roman" w:hAnsi="Times New Roman" w:cs="Times New Roman"/>
        </w:rPr>
        <w:t xml:space="preserve"> obtained as part of the randomized controlled trial that compared the sensitivity and specificity of mobile </w:t>
      </w:r>
      <w:proofErr w:type="spellStart"/>
      <w:r w:rsidRPr="00113077">
        <w:rPr>
          <w:rFonts w:ascii="Times New Roman" w:hAnsi="Times New Roman" w:cs="Times New Roman"/>
        </w:rPr>
        <w:t>teledermoscopy</w:t>
      </w:r>
      <w:proofErr w:type="spellEnd"/>
      <w:r w:rsidRPr="00113077">
        <w:rPr>
          <w:rFonts w:ascii="Times New Roman" w:hAnsi="Times New Roman" w:cs="Times New Roman"/>
        </w:rPr>
        <w:t>-enhanced SSE (</w:t>
      </w:r>
      <w:r w:rsidRPr="00631704">
        <w:rPr>
          <w:rFonts w:ascii="Times New Roman" w:hAnsi="Times New Roman" w:cs="Times New Roman"/>
          <w:i/>
        </w:rPr>
        <w:t>n</w:t>
      </w:r>
      <w:r w:rsidR="00631704">
        <w:rPr>
          <w:rFonts w:ascii="Times New Roman" w:hAnsi="Times New Roman" w:cs="Times New Roman"/>
        </w:rPr>
        <w:t xml:space="preserve"> </w:t>
      </w:r>
      <w:r w:rsidRPr="00113077">
        <w:rPr>
          <w:rFonts w:ascii="Times New Roman" w:hAnsi="Times New Roman" w:cs="Times New Roman"/>
        </w:rPr>
        <w:t>=</w:t>
      </w:r>
      <w:r w:rsidR="00631704">
        <w:rPr>
          <w:rFonts w:ascii="Times New Roman" w:hAnsi="Times New Roman" w:cs="Times New Roman"/>
        </w:rPr>
        <w:t xml:space="preserve"> </w:t>
      </w:r>
      <w:r w:rsidRPr="00113077">
        <w:rPr>
          <w:rFonts w:ascii="Times New Roman" w:hAnsi="Times New Roman" w:cs="Times New Roman"/>
        </w:rPr>
        <w:t>99) with naked-eye SSE (</w:t>
      </w:r>
      <w:r w:rsidRPr="00631704">
        <w:rPr>
          <w:rFonts w:ascii="Times New Roman" w:hAnsi="Times New Roman" w:cs="Times New Roman"/>
          <w:i/>
        </w:rPr>
        <w:t>n</w:t>
      </w:r>
      <w:r w:rsidR="00631704">
        <w:rPr>
          <w:rFonts w:ascii="Times New Roman" w:hAnsi="Times New Roman" w:cs="Times New Roman"/>
        </w:rPr>
        <w:t xml:space="preserve"> </w:t>
      </w:r>
      <w:r w:rsidRPr="00113077">
        <w:rPr>
          <w:rFonts w:ascii="Times New Roman" w:hAnsi="Times New Roman" w:cs="Times New Roman"/>
        </w:rPr>
        <w:t>=</w:t>
      </w:r>
      <w:r w:rsidR="00631704">
        <w:rPr>
          <w:rFonts w:ascii="Times New Roman" w:hAnsi="Times New Roman" w:cs="Times New Roman"/>
        </w:rPr>
        <w:t xml:space="preserve"> </w:t>
      </w:r>
      <w:r w:rsidRPr="00113077">
        <w:rPr>
          <w:rFonts w:ascii="Times New Roman" w:hAnsi="Times New Roman" w:cs="Times New Roman"/>
        </w:rPr>
        <w:t xml:space="preserve">101). The detailed methodology of the trial </w:t>
      </w:r>
      <w:r w:rsidR="00631704">
        <w:rPr>
          <w:rFonts w:ascii="Times New Roman" w:hAnsi="Times New Roman" w:cs="Times New Roman"/>
        </w:rPr>
        <w:t>has been</w:t>
      </w:r>
      <w:r w:rsidRPr="00113077">
        <w:rPr>
          <w:rFonts w:ascii="Times New Roman" w:hAnsi="Times New Roman" w:cs="Times New Roman"/>
        </w:rPr>
        <w:t xml:space="preserve"> reported previously </w:t>
      </w:r>
      <w:r w:rsidRPr="00113077">
        <w:rPr>
          <w:rFonts w:ascii="Times New Roman" w:hAnsi="Times New Roman" w:cs="Times New Roman"/>
          <w:noProof/>
        </w:rPr>
        <w:t>[9]</w:t>
      </w:r>
      <w:r w:rsidRPr="00113077">
        <w:rPr>
          <w:rFonts w:ascii="Times New Roman" w:hAnsi="Times New Roman" w:cs="Times New Roman"/>
        </w:rPr>
        <w:t xml:space="preserve">. Naked-eye SSE was defined as an individual examining themselves for signs of early skin cancer without use of examination aids except a mirror or partner to look at hard-to-see areas while mobile </w:t>
      </w:r>
      <w:proofErr w:type="spellStart"/>
      <w:r w:rsidRPr="00113077">
        <w:rPr>
          <w:rFonts w:ascii="Times New Roman" w:hAnsi="Times New Roman" w:cs="Times New Roman"/>
        </w:rPr>
        <w:t>teledermoscopy</w:t>
      </w:r>
      <w:proofErr w:type="spellEnd"/>
      <w:r w:rsidRPr="00113077">
        <w:rPr>
          <w:rFonts w:ascii="Times New Roman" w:hAnsi="Times New Roman" w:cs="Times New Roman"/>
        </w:rPr>
        <w:t xml:space="preserve">-enhanced SSE was defined as a store-and-forward system for sending images of skin lesions suspicious for skin cancer to a doctor. Recruitment for this trial was conducted </w:t>
      </w:r>
      <w:r>
        <w:rPr>
          <w:rFonts w:ascii="Times New Roman" w:hAnsi="Times New Roman" w:cs="Times New Roman"/>
        </w:rPr>
        <w:t>from</w:t>
      </w:r>
      <w:r w:rsidRPr="00113077">
        <w:rPr>
          <w:rFonts w:ascii="Times New Roman" w:hAnsi="Times New Roman" w:cs="Times New Roman"/>
        </w:rPr>
        <w:t xml:space="preserve"> March 2017 to June 2018. </w:t>
      </w:r>
      <w:r w:rsidR="000112C6" w:rsidRPr="000112C6">
        <w:rPr>
          <w:rFonts w:ascii="Times New Roman" w:hAnsi="Times New Roman" w:cs="Times New Roman"/>
        </w:rPr>
        <w:t xml:space="preserve">Participants were eligible if they had at least </w:t>
      </w:r>
      <w:r w:rsidR="00631704">
        <w:rPr>
          <w:rFonts w:ascii="Times New Roman" w:hAnsi="Times New Roman" w:cs="Times New Roman"/>
        </w:rPr>
        <w:t>2</w:t>
      </w:r>
      <w:r w:rsidR="000112C6" w:rsidRPr="000112C6">
        <w:rPr>
          <w:rFonts w:ascii="Times New Roman" w:hAnsi="Times New Roman" w:cs="Times New Roman"/>
        </w:rPr>
        <w:t xml:space="preserve"> skin cancer risk factors as self-reported in the eligibility survey. These included light skin complexion and fair hair, skin that never or rarely tans, and always or mostly burns, a family history of melanoma or a personal history of skin cancer, or many naevi, and residing in Queensland. </w:t>
      </w:r>
      <w:r w:rsidR="00C832DB" w:rsidRPr="00113077">
        <w:rPr>
          <w:rFonts w:ascii="Times New Roman" w:hAnsi="Times New Roman" w:cs="Times New Roman"/>
        </w:rPr>
        <w:t xml:space="preserve">Participants were enrolled in </w:t>
      </w:r>
      <w:r w:rsidR="00631704">
        <w:rPr>
          <w:rFonts w:ascii="Times New Roman" w:hAnsi="Times New Roman" w:cs="Times New Roman"/>
        </w:rPr>
        <w:t>4</w:t>
      </w:r>
      <w:r w:rsidR="00C832DB" w:rsidRPr="00113077">
        <w:rPr>
          <w:rFonts w:ascii="Times New Roman" w:hAnsi="Times New Roman" w:cs="Times New Roman"/>
        </w:rPr>
        <w:t xml:space="preserve"> phases to accommodate the reuse of study </w:t>
      </w:r>
      <w:proofErr w:type="spellStart"/>
      <w:r w:rsidR="00C832DB" w:rsidRPr="00113077">
        <w:rPr>
          <w:rFonts w:ascii="Times New Roman" w:hAnsi="Times New Roman" w:cs="Times New Roman"/>
        </w:rPr>
        <w:t>dermatoscopes</w:t>
      </w:r>
      <w:proofErr w:type="spellEnd"/>
      <w:r w:rsidR="00C832DB" w:rsidRPr="00113077">
        <w:rPr>
          <w:rFonts w:ascii="Times New Roman" w:hAnsi="Times New Roman" w:cs="Times New Roman"/>
        </w:rPr>
        <w:t xml:space="preserve"> by subsequent participants. </w:t>
      </w:r>
      <w:r w:rsidRPr="00113077">
        <w:rPr>
          <w:rFonts w:ascii="Times New Roman" w:hAnsi="Times New Roman" w:cs="Times New Roman"/>
        </w:rPr>
        <w:t>Participants in both groups were asked to complete whole-body home SSEs at baseline, 1 and 2 months later. Participants were provided with instructions on (</w:t>
      </w:r>
      <w:proofErr w:type="spellStart"/>
      <w:r w:rsidRPr="00113077">
        <w:rPr>
          <w:rFonts w:ascii="Times New Roman" w:hAnsi="Times New Roman" w:cs="Times New Roman"/>
        </w:rPr>
        <w:t>i</w:t>
      </w:r>
      <w:proofErr w:type="spellEnd"/>
      <w:r w:rsidRPr="00113077">
        <w:rPr>
          <w:rFonts w:ascii="Times New Roman" w:hAnsi="Times New Roman" w:cs="Times New Roman"/>
        </w:rPr>
        <w:t xml:space="preserve">) how to conduct a whole-body clinical skin examination and (ii) how to detect a lesion suspicious for skin cancer. At the end of their involvement with the study, all participants underwent a </w:t>
      </w:r>
      <w:r w:rsidR="00631704">
        <w:rPr>
          <w:rFonts w:ascii="Times New Roman" w:hAnsi="Times New Roman" w:cs="Times New Roman"/>
        </w:rPr>
        <w:t>clinical skin examination</w:t>
      </w:r>
      <w:r w:rsidRPr="00113077">
        <w:rPr>
          <w:rFonts w:ascii="Times New Roman" w:hAnsi="Times New Roman" w:cs="Times New Roman"/>
        </w:rPr>
        <w:t xml:space="preserve"> by a dermatologist in</w:t>
      </w:r>
      <w:r w:rsidR="00631704">
        <w:rPr>
          <w:rFonts w:ascii="Times New Roman" w:hAnsi="Times New Roman" w:cs="Times New Roman"/>
        </w:rPr>
        <w:t xml:space="preserve"> </w:t>
      </w:r>
      <w:r w:rsidRPr="00113077">
        <w:rPr>
          <w:rFonts w:ascii="Times New Roman" w:hAnsi="Times New Roman" w:cs="Times New Roman"/>
        </w:rPr>
        <w:t xml:space="preserve">person and at that time completed an exit interview, which provided data for the present analysis. As </w:t>
      </w:r>
      <w:r w:rsidRPr="00113077">
        <w:rPr>
          <w:rFonts w:ascii="Times New Roman" w:hAnsi="Times New Roman" w:cs="Times New Roman"/>
        </w:rPr>
        <w:lastRenderedPageBreak/>
        <w:t>qualitative data collection is commonly done until saturation is achieved, the interview guide was devoted to particular topics of interest and then changed to a new topic once no new themes or topics arose. The data used here w</w:t>
      </w:r>
      <w:r w:rsidR="00631704">
        <w:rPr>
          <w:rFonts w:ascii="Times New Roman" w:hAnsi="Times New Roman" w:cs="Times New Roman"/>
        </w:rPr>
        <w:t>ere</w:t>
      </w:r>
      <w:r w:rsidRPr="00113077">
        <w:rPr>
          <w:rFonts w:ascii="Times New Roman" w:hAnsi="Times New Roman" w:cs="Times New Roman"/>
        </w:rPr>
        <w:t xml:space="preserve"> collected from interviews of study participants that specifically focused on their opinions of the different settings of mobile </w:t>
      </w:r>
      <w:proofErr w:type="spellStart"/>
      <w:r w:rsidRPr="00113077">
        <w:rPr>
          <w:rFonts w:ascii="Times New Roman" w:hAnsi="Times New Roman" w:cs="Times New Roman"/>
        </w:rPr>
        <w:t>teledermoscopy</w:t>
      </w:r>
      <w:proofErr w:type="spellEnd"/>
      <w:r w:rsidRPr="00113077">
        <w:rPr>
          <w:rFonts w:ascii="Times New Roman" w:hAnsi="Times New Roman" w:cs="Times New Roman"/>
        </w:rPr>
        <w:t>, the patient-doctor relationship and their skin screening behaviours.</w:t>
      </w:r>
    </w:p>
    <w:p w:rsidR="005A730A" w:rsidRPr="00113077" w:rsidRDefault="005A730A" w:rsidP="005A730A">
      <w:pPr>
        <w:pStyle w:val="berschrift3"/>
        <w:spacing w:line="480" w:lineRule="auto"/>
        <w:rPr>
          <w:rFonts w:ascii="Times New Roman" w:hAnsi="Times New Roman" w:cs="Times New Roman"/>
          <w:i w:val="0"/>
        </w:rPr>
      </w:pPr>
    </w:p>
    <w:p w:rsidR="005A730A" w:rsidRPr="00113077" w:rsidRDefault="005A730A" w:rsidP="005A730A">
      <w:pPr>
        <w:adjustRightInd w:val="0"/>
        <w:spacing w:line="480" w:lineRule="auto"/>
        <w:ind w:right="57"/>
        <w:rPr>
          <w:rFonts w:ascii="Times New Roman" w:hAnsi="Times New Roman" w:cs="Times New Roman"/>
        </w:rPr>
      </w:pPr>
      <w:r w:rsidRPr="00113077">
        <w:rPr>
          <w:rFonts w:ascii="Times New Roman" w:hAnsi="Times New Roman" w:cs="Times New Roman"/>
        </w:rPr>
        <w:t xml:space="preserve">The audio-recorded interview was conducted by a research assistant according to a semi-structured format developed by the investigators. We first asked questions about previous clinical skin examinations conducted by a medical professional including frequency of </w:t>
      </w:r>
      <w:r>
        <w:rPr>
          <w:rFonts w:ascii="Times New Roman" w:hAnsi="Times New Roman" w:cs="Times New Roman"/>
        </w:rPr>
        <w:t>examination</w:t>
      </w:r>
      <w:r w:rsidRPr="00113077">
        <w:rPr>
          <w:rFonts w:ascii="Times New Roman" w:hAnsi="Times New Roman" w:cs="Times New Roman"/>
        </w:rPr>
        <w:t>s</w:t>
      </w:r>
      <w:r w:rsidR="00631704">
        <w:rPr>
          <w:rFonts w:ascii="Times New Roman" w:hAnsi="Times New Roman" w:cs="Times New Roman"/>
        </w:rPr>
        <w:t>,</w:t>
      </w:r>
      <w:r w:rsidRPr="00113077">
        <w:rPr>
          <w:rFonts w:ascii="Times New Roman" w:hAnsi="Times New Roman" w:cs="Times New Roman"/>
        </w:rPr>
        <w:t xml:space="preserve"> type of medical professional and place of </w:t>
      </w:r>
      <w:r>
        <w:rPr>
          <w:rFonts w:ascii="Times New Roman" w:hAnsi="Times New Roman" w:cs="Times New Roman"/>
        </w:rPr>
        <w:t>examination</w:t>
      </w:r>
      <w:r w:rsidRPr="00113077">
        <w:rPr>
          <w:rFonts w:ascii="Times New Roman" w:hAnsi="Times New Roman" w:cs="Times New Roman"/>
        </w:rPr>
        <w:t xml:space="preserve">s and whether they visited the same medical professional each time. Participants were then provided with direct-to-consumer and doctor-to-doctor scenarios whereby mobile </w:t>
      </w:r>
      <w:proofErr w:type="spellStart"/>
      <w:r w:rsidRPr="00113077">
        <w:rPr>
          <w:rFonts w:ascii="Times New Roman" w:hAnsi="Times New Roman" w:cs="Times New Roman"/>
        </w:rPr>
        <w:t>teledermoscopy</w:t>
      </w:r>
      <w:proofErr w:type="spellEnd"/>
      <w:r w:rsidRPr="00113077">
        <w:rPr>
          <w:rFonts w:ascii="Times New Roman" w:hAnsi="Times New Roman" w:cs="Times New Roman"/>
        </w:rPr>
        <w:t xml:space="preserve"> could be used. Due to demand for clinical skin examinations in Australia, people can visit either a general practitioner (GP), a skin cancer clinic which has GPs who have </w:t>
      </w:r>
      <w:r>
        <w:rPr>
          <w:rFonts w:ascii="Times New Roman" w:hAnsi="Times New Roman" w:cs="Times New Roman"/>
        </w:rPr>
        <w:t xml:space="preserve">additional </w:t>
      </w:r>
      <w:r w:rsidRPr="00113077">
        <w:rPr>
          <w:rFonts w:ascii="Times New Roman" w:hAnsi="Times New Roman" w:cs="Times New Roman"/>
        </w:rPr>
        <w:t>training in skin cancer medicine or a board</w:t>
      </w:r>
      <w:r w:rsidR="00631704">
        <w:rPr>
          <w:rFonts w:ascii="Times New Roman" w:hAnsi="Times New Roman" w:cs="Times New Roman"/>
        </w:rPr>
        <w:t>-</w:t>
      </w:r>
      <w:r w:rsidRPr="00113077">
        <w:rPr>
          <w:rFonts w:ascii="Times New Roman" w:hAnsi="Times New Roman" w:cs="Times New Roman"/>
        </w:rPr>
        <w:t xml:space="preserve">certified dermatologist of the Australasian College of Dermatologists. GPs conduct many clinical skin examinations particularly in regional and rural areas. Skin cancer clinics with GPs who have </w:t>
      </w:r>
      <w:r>
        <w:rPr>
          <w:rFonts w:ascii="Times New Roman" w:hAnsi="Times New Roman" w:cs="Times New Roman"/>
        </w:rPr>
        <w:t xml:space="preserve">additional </w:t>
      </w:r>
      <w:r w:rsidRPr="00113077">
        <w:rPr>
          <w:rFonts w:ascii="Times New Roman" w:hAnsi="Times New Roman" w:cs="Times New Roman"/>
        </w:rPr>
        <w:t xml:space="preserve">training in skin cancer medicine are also common in Australia. </w:t>
      </w:r>
    </w:p>
    <w:p w:rsidR="005A730A" w:rsidRPr="00113077" w:rsidRDefault="005A730A" w:rsidP="005A730A">
      <w:pPr>
        <w:adjustRightInd w:val="0"/>
        <w:spacing w:line="480" w:lineRule="auto"/>
        <w:ind w:right="57"/>
        <w:rPr>
          <w:rFonts w:ascii="Times New Roman" w:hAnsi="Times New Roman" w:cs="Times New Roman"/>
        </w:rPr>
      </w:pPr>
    </w:p>
    <w:p w:rsidR="005A730A" w:rsidRPr="00113077" w:rsidRDefault="005A730A" w:rsidP="005A730A">
      <w:pPr>
        <w:pStyle w:val="berschrift3"/>
        <w:spacing w:line="480" w:lineRule="auto"/>
        <w:rPr>
          <w:rFonts w:ascii="Times New Roman" w:hAnsi="Times New Roman" w:cs="Times New Roman"/>
        </w:rPr>
      </w:pPr>
      <w:r w:rsidRPr="00113077">
        <w:rPr>
          <w:rFonts w:ascii="Times New Roman" w:hAnsi="Times New Roman" w:cs="Times New Roman"/>
        </w:rPr>
        <w:t>Doctor-to-</w:t>
      </w:r>
      <w:r w:rsidR="00631704" w:rsidRPr="00113077">
        <w:rPr>
          <w:rFonts w:ascii="Times New Roman" w:hAnsi="Times New Roman" w:cs="Times New Roman"/>
        </w:rPr>
        <w:t>Doctor Se</w:t>
      </w:r>
      <w:r w:rsidRPr="00113077">
        <w:rPr>
          <w:rFonts w:ascii="Times New Roman" w:hAnsi="Times New Roman" w:cs="Times New Roman"/>
        </w:rPr>
        <w:t>tting</w:t>
      </w:r>
    </w:p>
    <w:p w:rsidR="005A730A" w:rsidRPr="00113077" w:rsidRDefault="005A730A" w:rsidP="005A730A">
      <w:pPr>
        <w:adjustRightInd w:val="0"/>
        <w:spacing w:line="480" w:lineRule="auto"/>
        <w:ind w:right="57"/>
        <w:rPr>
          <w:rFonts w:ascii="Times New Roman" w:hAnsi="Times New Roman" w:cs="Times New Roman"/>
        </w:rPr>
      </w:pPr>
      <w:r w:rsidRPr="00113077">
        <w:rPr>
          <w:rFonts w:ascii="Times New Roman" w:hAnsi="Times New Roman" w:cs="Times New Roman"/>
        </w:rPr>
        <w:t>We explored participants’ views on the referral/triage doctor-to-doctor setting. We explained that in this setting, a GP would send images of patients' suspicious lesions to a dermatologist. If the lesion appears suspicious</w:t>
      </w:r>
      <w:r w:rsidR="00631704">
        <w:rPr>
          <w:rFonts w:ascii="Times New Roman" w:hAnsi="Times New Roman" w:cs="Times New Roman"/>
        </w:rPr>
        <w:t>,</w:t>
      </w:r>
      <w:r w:rsidRPr="00113077">
        <w:rPr>
          <w:rFonts w:ascii="Times New Roman" w:hAnsi="Times New Roman" w:cs="Times New Roman"/>
        </w:rPr>
        <w:t xml:space="preserve"> the dermatology </w:t>
      </w:r>
      <w:r>
        <w:rPr>
          <w:rFonts w:ascii="Times New Roman" w:hAnsi="Times New Roman" w:cs="Times New Roman"/>
        </w:rPr>
        <w:t xml:space="preserve">referral and </w:t>
      </w:r>
      <w:r w:rsidRPr="00113077">
        <w:rPr>
          <w:rFonts w:ascii="Times New Roman" w:hAnsi="Times New Roman" w:cs="Times New Roman"/>
        </w:rPr>
        <w:t xml:space="preserve">appointment could be expedited. If the lesion is considered benign by the dermatologist, then the patient could </w:t>
      </w:r>
      <w:r w:rsidRPr="00113077">
        <w:rPr>
          <w:rFonts w:ascii="Times New Roman" w:hAnsi="Times New Roman" w:cs="Times New Roman"/>
        </w:rPr>
        <w:lastRenderedPageBreak/>
        <w:t>avoid visiting a dermatologist. If the lesion is suspicious</w:t>
      </w:r>
      <w:r w:rsidR="00631704">
        <w:rPr>
          <w:rFonts w:ascii="Times New Roman" w:hAnsi="Times New Roman" w:cs="Times New Roman"/>
        </w:rPr>
        <w:t>,</w:t>
      </w:r>
      <w:r w:rsidRPr="00113077">
        <w:rPr>
          <w:rFonts w:ascii="Times New Roman" w:hAnsi="Times New Roman" w:cs="Times New Roman"/>
        </w:rPr>
        <w:t xml:space="preserve"> then prioritised appointments could be provided to reduce waiting times. </w:t>
      </w:r>
    </w:p>
    <w:p w:rsidR="005A730A" w:rsidRPr="00113077" w:rsidRDefault="005A730A" w:rsidP="005A730A">
      <w:pPr>
        <w:adjustRightInd w:val="0"/>
        <w:spacing w:line="480" w:lineRule="auto"/>
        <w:ind w:right="57"/>
        <w:rPr>
          <w:rFonts w:ascii="Times New Roman" w:hAnsi="Times New Roman" w:cs="Times New Roman"/>
        </w:rPr>
      </w:pPr>
    </w:p>
    <w:p w:rsidR="005A730A" w:rsidRPr="00113077" w:rsidRDefault="005A730A" w:rsidP="005A730A">
      <w:pPr>
        <w:pStyle w:val="berschrift3"/>
        <w:spacing w:line="480" w:lineRule="auto"/>
        <w:rPr>
          <w:rFonts w:ascii="Times New Roman" w:hAnsi="Times New Roman" w:cs="Times New Roman"/>
        </w:rPr>
      </w:pPr>
      <w:r w:rsidRPr="00113077">
        <w:rPr>
          <w:rFonts w:ascii="Times New Roman" w:hAnsi="Times New Roman" w:cs="Times New Roman"/>
        </w:rPr>
        <w:t>Direct-to-</w:t>
      </w:r>
      <w:r w:rsidR="00631704" w:rsidRPr="00113077">
        <w:rPr>
          <w:rFonts w:ascii="Times New Roman" w:hAnsi="Times New Roman" w:cs="Times New Roman"/>
        </w:rPr>
        <w:t>Consumer Set</w:t>
      </w:r>
      <w:r w:rsidRPr="00113077">
        <w:rPr>
          <w:rFonts w:ascii="Times New Roman" w:hAnsi="Times New Roman" w:cs="Times New Roman"/>
        </w:rPr>
        <w:t>ting</w:t>
      </w:r>
    </w:p>
    <w:p w:rsidR="005A730A" w:rsidRPr="00113077" w:rsidRDefault="005A730A" w:rsidP="005A730A">
      <w:pPr>
        <w:adjustRightInd w:val="0"/>
        <w:spacing w:line="480" w:lineRule="auto"/>
        <w:ind w:right="57"/>
        <w:rPr>
          <w:rFonts w:ascii="Times New Roman" w:hAnsi="Times New Roman" w:cs="Times New Roman"/>
        </w:rPr>
      </w:pPr>
      <w:r w:rsidRPr="00113077">
        <w:rPr>
          <w:rFonts w:ascii="Times New Roman" w:hAnsi="Times New Roman" w:cs="Times New Roman"/>
        </w:rPr>
        <w:t xml:space="preserve">The direct-to-consumer setting involved two scenarios: </w:t>
      </w:r>
      <w:r w:rsidR="00631704">
        <w:rPr>
          <w:rFonts w:ascii="Times New Roman" w:hAnsi="Times New Roman" w:cs="Times New Roman"/>
        </w:rPr>
        <w:t>(</w:t>
      </w:r>
      <w:proofErr w:type="spellStart"/>
      <w:r w:rsidRPr="00113077">
        <w:rPr>
          <w:rFonts w:ascii="Times New Roman" w:hAnsi="Times New Roman" w:cs="Times New Roman"/>
        </w:rPr>
        <w:t>i</w:t>
      </w:r>
      <w:proofErr w:type="spellEnd"/>
      <w:r w:rsidRPr="00113077">
        <w:rPr>
          <w:rFonts w:ascii="Times New Roman" w:hAnsi="Times New Roman" w:cs="Times New Roman"/>
        </w:rPr>
        <w:t xml:space="preserve">) the patient sending photos of doctor-identified suspicious lesions to monitor changes over time; or </w:t>
      </w:r>
      <w:r w:rsidR="00631704">
        <w:rPr>
          <w:rFonts w:ascii="Times New Roman" w:hAnsi="Times New Roman" w:cs="Times New Roman"/>
        </w:rPr>
        <w:t>(</w:t>
      </w:r>
      <w:r w:rsidRPr="00113077">
        <w:rPr>
          <w:rFonts w:ascii="Times New Roman" w:hAnsi="Times New Roman" w:cs="Times New Roman"/>
        </w:rPr>
        <w:t xml:space="preserve">ii) the patient self-selecting lesions suspicious for skin cancer at home for remote diagnosis by a </w:t>
      </w:r>
      <w:proofErr w:type="spellStart"/>
      <w:r w:rsidRPr="00113077">
        <w:rPr>
          <w:rFonts w:ascii="Times New Roman" w:hAnsi="Times New Roman" w:cs="Times New Roman"/>
        </w:rPr>
        <w:t>teledermatologist</w:t>
      </w:r>
      <w:proofErr w:type="spellEnd"/>
      <w:r w:rsidRPr="00113077">
        <w:rPr>
          <w:rFonts w:ascii="Times New Roman" w:hAnsi="Times New Roman" w:cs="Times New Roman"/>
        </w:rPr>
        <w:t>.</w:t>
      </w:r>
    </w:p>
    <w:p w:rsidR="005A730A" w:rsidRPr="00113077" w:rsidRDefault="005A730A" w:rsidP="005A730A">
      <w:pPr>
        <w:adjustRightInd w:val="0"/>
        <w:spacing w:line="480" w:lineRule="auto"/>
        <w:ind w:right="57"/>
        <w:rPr>
          <w:rFonts w:ascii="Times New Roman" w:hAnsi="Times New Roman" w:cs="Times New Roman"/>
        </w:rPr>
      </w:pPr>
    </w:p>
    <w:p w:rsidR="005A730A" w:rsidRPr="00113077" w:rsidRDefault="005A730A" w:rsidP="005A730A">
      <w:pPr>
        <w:pStyle w:val="berschrift3"/>
        <w:spacing w:line="480" w:lineRule="auto"/>
        <w:rPr>
          <w:rFonts w:ascii="Times New Roman" w:hAnsi="Times New Roman" w:cs="Times New Roman"/>
        </w:rPr>
      </w:pPr>
      <w:r w:rsidRPr="00113077">
        <w:rPr>
          <w:rFonts w:ascii="Times New Roman" w:hAnsi="Times New Roman" w:cs="Times New Roman"/>
        </w:rPr>
        <w:t>Analysis</w:t>
      </w:r>
    </w:p>
    <w:p w:rsidR="005A730A" w:rsidRPr="00113077" w:rsidRDefault="005A730A" w:rsidP="005A730A">
      <w:pPr>
        <w:spacing w:line="480" w:lineRule="auto"/>
        <w:rPr>
          <w:rFonts w:ascii="Times New Roman" w:eastAsia="Times New Roman" w:hAnsi="Times New Roman" w:cs="Times New Roman"/>
        </w:rPr>
      </w:pPr>
      <w:r w:rsidRPr="00113077">
        <w:rPr>
          <w:rFonts w:ascii="Times New Roman" w:eastAsia="Times New Roman" w:hAnsi="Times New Roman" w:cs="Times New Roman"/>
        </w:rPr>
        <w:t>We used descriptive statistics to summarise participant demographic details and calculated counts and percentages for yes/no/unsure interview responses. All interviews were tape-recorded and transcribed verbatim. Each interview transcript was independently read and reread to facilitate thematic analysis by two researchers (C</w:t>
      </w:r>
      <w:r w:rsidR="00631704">
        <w:rPr>
          <w:rFonts w:ascii="Times New Roman" w:eastAsia="Times New Roman" w:hAnsi="Times New Roman" w:cs="Times New Roman"/>
        </w:rPr>
        <w:t>.</w:t>
      </w:r>
      <w:r w:rsidRPr="00113077">
        <w:rPr>
          <w:rFonts w:ascii="Times New Roman" w:eastAsia="Times New Roman" w:hAnsi="Times New Roman" w:cs="Times New Roman"/>
        </w:rPr>
        <w:t>H</w:t>
      </w:r>
      <w:r w:rsidR="00631704">
        <w:rPr>
          <w:rFonts w:ascii="Times New Roman" w:eastAsia="Times New Roman" w:hAnsi="Times New Roman" w:cs="Times New Roman"/>
        </w:rPr>
        <w:t>.</w:t>
      </w:r>
      <w:r w:rsidRPr="00113077">
        <w:rPr>
          <w:rFonts w:ascii="Times New Roman" w:eastAsia="Times New Roman" w:hAnsi="Times New Roman" w:cs="Times New Roman"/>
        </w:rPr>
        <w:t xml:space="preserve"> and F</w:t>
      </w:r>
      <w:r w:rsidR="00631704">
        <w:rPr>
          <w:rFonts w:ascii="Times New Roman" w:eastAsia="Times New Roman" w:hAnsi="Times New Roman" w:cs="Times New Roman"/>
        </w:rPr>
        <w:t>.</w:t>
      </w:r>
      <w:r w:rsidRPr="00113077">
        <w:rPr>
          <w:rFonts w:ascii="Times New Roman" w:eastAsia="Times New Roman" w:hAnsi="Times New Roman" w:cs="Times New Roman"/>
        </w:rPr>
        <w:t>K</w:t>
      </w:r>
      <w:r w:rsidR="00631704">
        <w:rPr>
          <w:rFonts w:ascii="Times New Roman" w:eastAsia="Times New Roman" w:hAnsi="Times New Roman" w:cs="Times New Roman"/>
        </w:rPr>
        <w:t>.</w:t>
      </w:r>
      <w:r w:rsidRPr="00113077">
        <w:rPr>
          <w:rFonts w:ascii="Times New Roman" w:eastAsia="Times New Roman" w:hAnsi="Times New Roman" w:cs="Times New Roman"/>
        </w:rPr>
        <w:t>). During the scoping process</w:t>
      </w:r>
      <w:r w:rsidR="00631704">
        <w:rPr>
          <w:rFonts w:ascii="Times New Roman" w:eastAsia="Times New Roman" w:hAnsi="Times New Roman" w:cs="Times New Roman"/>
        </w:rPr>
        <w:t>,</w:t>
      </w:r>
      <w:r w:rsidRPr="00113077">
        <w:rPr>
          <w:rFonts w:ascii="Times New Roman" w:eastAsia="Times New Roman" w:hAnsi="Times New Roman" w:cs="Times New Roman"/>
        </w:rPr>
        <w:t xml:space="preserve"> potential codes were developed inductively to create overarching concepts. Themes were extracted by each reader individually and then compared to assess and report key and recurrent ideas. Other patient opinions or comments that were notable and did not fit within a theme were also collected.</w:t>
      </w:r>
      <w:r w:rsidR="00571B58">
        <w:rPr>
          <w:rFonts w:ascii="Times New Roman" w:eastAsia="Times New Roman" w:hAnsi="Times New Roman" w:cs="Times New Roman"/>
        </w:rPr>
        <w:t xml:space="preserve"> </w:t>
      </w:r>
    </w:p>
    <w:p w:rsidR="00AF4A82" w:rsidRDefault="00631704">
      <w:bookmarkStart w:id="0" w:name="_GoBack"/>
      <w:bookmarkEnd w:id="0"/>
    </w:p>
    <w:sectPr w:rsidR="00AF4A8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FBB" w:rsidRDefault="00C46FBB" w:rsidP="00C46FBB">
      <w:r>
        <w:separator/>
      </w:r>
    </w:p>
  </w:endnote>
  <w:endnote w:type="continuationSeparator" w:id="0">
    <w:p w:rsidR="00C46FBB" w:rsidRDefault="00C46FBB" w:rsidP="00C4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630578"/>
      <w:docPartObj>
        <w:docPartGallery w:val="Page Numbers (Bottom of Page)"/>
        <w:docPartUnique/>
      </w:docPartObj>
    </w:sdtPr>
    <w:sdtEndPr>
      <w:rPr>
        <w:noProof/>
      </w:rPr>
    </w:sdtEndPr>
    <w:sdtContent>
      <w:p w:rsidR="00C46FBB" w:rsidRDefault="00C46FBB">
        <w:pPr>
          <w:pStyle w:val="Fuzeile"/>
          <w:jc w:val="right"/>
        </w:pPr>
        <w:r>
          <w:fldChar w:fldCharType="begin"/>
        </w:r>
        <w:r>
          <w:instrText xml:space="preserve"> PAGE   \* MERGEFORMAT </w:instrText>
        </w:r>
        <w:r>
          <w:fldChar w:fldCharType="separate"/>
        </w:r>
        <w:r w:rsidR="00571B58">
          <w:rPr>
            <w:noProof/>
          </w:rPr>
          <w:t>2</w:t>
        </w:r>
        <w:r>
          <w:rPr>
            <w:noProof/>
          </w:rPr>
          <w:fldChar w:fldCharType="end"/>
        </w:r>
      </w:p>
    </w:sdtContent>
  </w:sdt>
  <w:p w:rsidR="00C46FBB" w:rsidRDefault="00C46F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FBB" w:rsidRDefault="00C46FBB" w:rsidP="00C46FBB">
      <w:r>
        <w:separator/>
      </w:r>
    </w:p>
  </w:footnote>
  <w:footnote w:type="continuationSeparator" w:id="0">
    <w:p w:rsidR="00C46FBB" w:rsidRDefault="00C46FBB" w:rsidP="00C46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30A"/>
    <w:rsid w:val="000112C6"/>
    <w:rsid w:val="00571B58"/>
    <w:rsid w:val="005A730A"/>
    <w:rsid w:val="005C4BCC"/>
    <w:rsid w:val="00631704"/>
    <w:rsid w:val="007003D2"/>
    <w:rsid w:val="008D6DCB"/>
    <w:rsid w:val="00AD29E1"/>
    <w:rsid w:val="00C46FBB"/>
    <w:rsid w:val="00C832DB"/>
    <w:rsid w:val="00E2484B"/>
    <w:rsid w:val="00F22C52"/>
    <w:rsid w:val="00FE3C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7234"/>
  <w15:chartTrackingRefBased/>
  <w15:docId w15:val="{BEAC4956-F78D-4095-96A6-03E37DE2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730A"/>
    <w:pPr>
      <w:spacing w:after="0" w:line="240" w:lineRule="auto"/>
    </w:pPr>
    <w:rPr>
      <w:sz w:val="24"/>
      <w:szCs w:val="24"/>
    </w:rPr>
  </w:style>
  <w:style w:type="paragraph" w:styleId="berschrift3">
    <w:name w:val="heading 3"/>
    <w:basedOn w:val="Standard"/>
    <w:next w:val="Standard"/>
    <w:link w:val="berschrift3Zchn"/>
    <w:uiPriority w:val="9"/>
    <w:unhideWhenUsed/>
    <w:qFormat/>
    <w:rsid w:val="005A730A"/>
    <w:pPr>
      <w:keepNext/>
      <w:keepLines/>
      <w:spacing w:before="40" w:after="120"/>
      <w:outlineLvl w:val="2"/>
    </w:pPr>
    <w:rPr>
      <w:rFonts w:asciiTheme="majorHAnsi" w:eastAsiaTheme="majorEastAsia" w:hAnsiTheme="majorHAnsi" w:cstheme="majorBidi"/>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A730A"/>
    <w:rPr>
      <w:rFonts w:asciiTheme="majorHAnsi" w:eastAsiaTheme="majorEastAsia" w:hAnsiTheme="majorHAnsi" w:cstheme="majorBidi"/>
      <w:i/>
      <w:sz w:val="24"/>
      <w:szCs w:val="24"/>
    </w:rPr>
  </w:style>
  <w:style w:type="paragraph" w:styleId="Kopfzeile">
    <w:name w:val="header"/>
    <w:basedOn w:val="Standard"/>
    <w:link w:val="KopfzeileZchn"/>
    <w:uiPriority w:val="99"/>
    <w:unhideWhenUsed/>
    <w:rsid w:val="00C46FBB"/>
    <w:pPr>
      <w:tabs>
        <w:tab w:val="center" w:pos="4513"/>
        <w:tab w:val="right" w:pos="9026"/>
      </w:tabs>
    </w:pPr>
  </w:style>
  <w:style w:type="character" w:customStyle="1" w:styleId="KopfzeileZchn">
    <w:name w:val="Kopfzeile Zchn"/>
    <w:basedOn w:val="Absatz-Standardschriftart"/>
    <w:link w:val="Kopfzeile"/>
    <w:uiPriority w:val="99"/>
    <w:rsid w:val="00C46FBB"/>
    <w:rPr>
      <w:sz w:val="24"/>
      <w:szCs w:val="24"/>
    </w:rPr>
  </w:style>
  <w:style w:type="paragraph" w:styleId="Fuzeile">
    <w:name w:val="footer"/>
    <w:basedOn w:val="Standard"/>
    <w:link w:val="FuzeileZchn"/>
    <w:uiPriority w:val="99"/>
    <w:unhideWhenUsed/>
    <w:rsid w:val="00C46FBB"/>
    <w:pPr>
      <w:tabs>
        <w:tab w:val="center" w:pos="4513"/>
        <w:tab w:val="right" w:pos="9026"/>
      </w:tabs>
    </w:pPr>
  </w:style>
  <w:style w:type="character" w:customStyle="1" w:styleId="FuzeileZchn">
    <w:name w:val="Fußzeile Zchn"/>
    <w:basedOn w:val="Absatz-Standardschriftart"/>
    <w:link w:val="Fuzeile"/>
    <w:uiPriority w:val="99"/>
    <w:rsid w:val="00C46F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4265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Horsham</dc:creator>
  <cp:keywords/>
  <dc:description/>
  <cp:lastModifiedBy>Elisabeth Stöcklin</cp:lastModifiedBy>
  <cp:revision>4</cp:revision>
  <dcterms:created xsi:type="dcterms:W3CDTF">2019-12-23T00:30:00Z</dcterms:created>
  <dcterms:modified xsi:type="dcterms:W3CDTF">2020-01-29T08:26:00Z</dcterms:modified>
</cp:coreProperties>
</file>