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6547B" w14:textId="70CECD5D" w:rsidR="00DE0F49" w:rsidRPr="00D508E5" w:rsidRDefault="00DE0F49" w:rsidP="00DE0F49">
      <w:pPr>
        <w:jc w:val="both"/>
        <w:rPr>
          <w:rFonts w:eastAsia="Times New Roman"/>
          <w:b/>
          <w:bCs/>
          <w:color w:val="212121"/>
          <w:sz w:val="28"/>
          <w:szCs w:val="28"/>
          <w:shd w:val="clear" w:color="auto" w:fill="FFFFFF"/>
        </w:rPr>
      </w:pPr>
      <w:r w:rsidRPr="00D508E5">
        <w:rPr>
          <w:rFonts w:eastAsia="Times New Roman"/>
          <w:b/>
          <w:bCs/>
          <w:color w:val="212121"/>
          <w:sz w:val="28"/>
          <w:szCs w:val="28"/>
          <w:shd w:val="clear" w:color="auto" w:fill="FFFFFF"/>
        </w:rPr>
        <w:t xml:space="preserve">Patients and </w:t>
      </w:r>
      <w:r w:rsidR="00D508E5" w:rsidRPr="00D508E5">
        <w:rPr>
          <w:rFonts w:eastAsia="Times New Roman"/>
          <w:b/>
          <w:bCs/>
          <w:color w:val="212121"/>
          <w:sz w:val="28"/>
          <w:szCs w:val="28"/>
          <w:shd w:val="clear" w:color="auto" w:fill="FFFFFF"/>
        </w:rPr>
        <w:t>Methods</w:t>
      </w:r>
    </w:p>
    <w:p w14:paraId="0D23ABC8" w14:textId="77777777" w:rsidR="00DE0F49" w:rsidRPr="00D508E5" w:rsidRDefault="00DE0F49" w:rsidP="00DE0F49">
      <w:pPr>
        <w:jc w:val="both"/>
        <w:rPr>
          <w:rFonts w:eastAsia="Times New Roman"/>
          <w:b/>
          <w:bCs/>
          <w:i/>
          <w:iCs/>
          <w:color w:val="212121"/>
          <w:shd w:val="clear" w:color="auto" w:fill="FFFFFF"/>
        </w:rPr>
      </w:pPr>
    </w:p>
    <w:p w14:paraId="2C81DADE" w14:textId="77777777" w:rsidR="00DE0F49" w:rsidRPr="00D508E5" w:rsidRDefault="00DE0F49" w:rsidP="00DE0F49">
      <w:pPr>
        <w:jc w:val="both"/>
        <w:rPr>
          <w:rFonts w:eastAsia="Times New Roman"/>
          <w:i/>
        </w:rPr>
      </w:pPr>
      <w:r w:rsidRPr="00D508E5">
        <w:rPr>
          <w:rFonts w:eastAsia="Times New Roman"/>
          <w:i/>
          <w:color w:val="212121"/>
          <w:shd w:val="clear" w:color="auto" w:fill="FFFFFF"/>
        </w:rPr>
        <w:t>Design</w:t>
      </w:r>
    </w:p>
    <w:p w14:paraId="0CB64DDE" w14:textId="4D080D8B" w:rsidR="00DE0F49" w:rsidRPr="00D508E5" w:rsidRDefault="00D508E5" w:rsidP="00DE0F49">
      <w:pPr>
        <w:jc w:val="both"/>
        <w:rPr>
          <w:rFonts w:eastAsia="Times New Roman"/>
          <w:color w:val="212121"/>
          <w:shd w:val="clear" w:color="auto" w:fill="FFFFFF"/>
        </w:rPr>
      </w:pPr>
      <w:r w:rsidRPr="00D508E5">
        <w:rPr>
          <w:rFonts w:eastAsia="Times New Roman"/>
          <w:color w:val="212121"/>
          <w:shd w:val="clear" w:color="auto" w:fill="FFFFFF"/>
        </w:rPr>
        <w:t>(</w:t>
      </w:r>
      <w:r w:rsidR="00DE0F49" w:rsidRPr="00D508E5">
        <w:rPr>
          <w:rFonts w:eastAsia="Times New Roman"/>
          <w:color w:val="212121"/>
          <w:shd w:val="clear" w:color="auto" w:fill="FFFFFF"/>
        </w:rPr>
        <w:t xml:space="preserve">1) Presentation of </w:t>
      </w:r>
      <w:r w:rsidRPr="00D508E5">
        <w:rPr>
          <w:rFonts w:eastAsia="Times New Roman"/>
          <w:color w:val="212121"/>
          <w:shd w:val="clear" w:color="auto" w:fill="FFFFFF"/>
        </w:rPr>
        <w:t>2</w:t>
      </w:r>
      <w:r w:rsidR="00DE0F49" w:rsidRPr="00D508E5">
        <w:rPr>
          <w:rFonts w:eastAsia="Times New Roman"/>
          <w:color w:val="212121"/>
          <w:shd w:val="clear" w:color="auto" w:fill="FFFFFF"/>
        </w:rPr>
        <w:t xml:space="preserve"> cases of paradoxical hidradenitis suppurativa </w:t>
      </w:r>
      <w:r w:rsidRPr="00D508E5">
        <w:rPr>
          <w:rFonts w:eastAsia="Times New Roman"/>
          <w:color w:val="212121"/>
          <w:shd w:val="clear" w:color="auto" w:fill="FFFFFF"/>
        </w:rPr>
        <w:t xml:space="preserve">(HS) </w:t>
      </w:r>
      <w:r w:rsidR="00DE0F49" w:rsidRPr="00D508E5">
        <w:rPr>
          <w:rFonts w:eastAsia="Times New Roman"/>
          <w:color w:val="212121"/>
          <w:shd w:val="clear" w:color="auto" w:fill="FFFFFF"/>
        </w:rPr>
        <w:t xml:space="preserve">in patients receiving </w:t>
      </w:r>
      <w:r w:rsidR="0045292A" w:rsidRPr="00D508E5">
        <w:rPr>
          <w:color w:val="000000"/>
        </w:rPr>
        <w:t>TNF-</w:t>
      </w:r>
      <w:r w:rsidR="0045292A" w:rsidRPr="00D508E5">
        <w:rPr>
          <w:rFonts w:eastAsia="Times New Roman"/>
          <w:color w:val="000000"/>
          <w:shd w:val="clear" w:color="auto" w:fill="FFFFFF"/>
        </w:rPr>
        <w:t xml:space="preserve">α </w:t>
      </w:r>
      <w:r w:rsidR="0045292A" w:rsidRPr="00D508E5">
        <w:rPr>
          <w:color w:val="000000"/>
        </w:rPr>
        <w:t>inhibitors</w:t>
      </w:r>
      <w:r>
        <w:rPr>
          <w:color w:val="000000"/>
        </w:rPr>
        <w:t xml:space="preserve"> and</w:t>
      </w:r>
      <w:r w:rsidR="00DE0F49" w:rsidRPr="00D508E5">
        <w:rPr>
          <w:rFonts w:eastAsia="Times New Roman"/>
          <w:color w:val="212121"/>
          <w:shd w:val="clear" w:color="auto" w:fill="FFFFFF"/>
        </w:rPr>
        <w:t xml:space="preserve"> </w:t>
      </w:r>
      <w:r>
        <w:rPr>
          <w:rFonts w:eastAsia="Times New Roman"/>
          <w:color w:val="212121"/>
          <w:shd w:val="clear" w:color="auto" w:fill="FFFFFF"/>
        </w:rPr>
        <w:t>(</w:t>
      </w:r>
      <w:r w:rsidR="00DE0F49" w:rsidRPr="00D508E5">
        <w:rPr>
          <w:rFonts w:eastAsia="Times New Roman"/>
          <w:color w:val="212121"/>
          <w:shd w:val="clear" w:color="auto" w:fill="FFFFFF"/>
        </w:rPr>
        <w:t xml:space="preserve">2) </w:t>
      </w:r>
      <w:r w:rsidRPr="00D508E5">
        <w:rPr>
          <w:rFonts w:eastAsia="Times New Roman"/>
          <w:color w:val="212121"/>
          <w:shd w:val="clear" w:color="auto" w:fill="FFFFFF"/>
        </w:rPr>
        <w:t xml:space="preserve">systematic </w:t>
      </w:r>
      <w:r w:rsidR="00DE0F49" w:rsidRPr="00D508E5">
        <w:rPr>
          <w:rFonts w:eastAsia="Times New Roman"/>
          <w:color w:val="212121"/>
          <w:shd w:val="clear" w:color="auto" w:fill="FFFFFF"/>
        </w:rPr>
        <w:t>review and case meta-analysis of the scientific literature of case reports a</w:t>
      </w:r>
      <w:bookmarkStart w:id="0" w:name="_GoBack"/>
      <w:bookmarkEnd w:id="0"/>
      <w:r w:rsidR="00DE0F49" w:rsidRPr="00D508E5">
        <w:rPr>
          <w:rFonts w:eastAsia="Times New Roman"/>
          <w:color w:val="212121"/>
          <w:shd w:val="clear" w:color="auto" w:fill="FFFFFF"/>
        </w:rPr>
        <w:t>nd epidem</w:t>
      </w:r>
      <w:r w:rsidR="009C2590" w:rsidRPr="00D508E5">
        <w:rPr>
          <w:rFonts w:eastAsia="Times New Roman"/>
          <w:color w:val="212121"/>
          <w:shd w:val="clear" w:color="auto" w:fill="FFFFFF"/>
        </w:rPr>
        <w:t>iological studies regarding para</w:t>
      </w:r>
      <w:r w:rsidR="00DE0F49" w:rsidRPr="00D508E5">
        <w:rPr>
          <w:rFonts w:eastAsia="Times New Roman"/>
          <w:color w:val="212121"/>
          <w:shd w:val="clear" w:color="auto" w:fill="FFFFFF"/>
        </w:rPr>
        <w:t xml:space="preserve">doxical HS with </w:t>
      </w:r>
      <w:r w:rsidR="0045292A" w:rsidRPr="00D508E5">
        <w:rPr>
          <w:color w:val="000000"/>
        </w:rPr>
        <w:t>TNF-</w:t>
      </w:r>
      <w:r w:rsidR="0045292A" w:rsidRPr="00D508E5">
        <w:rPr>
          <w:rFonts w:eastAsia="Times New Roman"/>
          <w:color w:val="000000"/>
          <w:shd w:val="clear" w:color="auto" w:fill="FFFFFF"/>
        </w:rPr>
        <w:t xml:space="preserve">α </w:t>
      </w:r>
      <w:r w:rsidR="0045292A" w:rsidRPr="00D508E5">
        <w:rPr>
          <w:color w:val="000000"/>
        </w:rPr>
        <w:t>inhibitors</w:t>
      </w:r>
      <w:r>
        <w:rPr>
          <w:color w:val="000000"/>
        </w:rPr>
        <w:t>.</w:t>
      </w:r>
    </w:p>
    <w:p w14:paraId="48D6019C" w14:textId="77777777" w:rsidR="00DE0F49" w:rsidRPr="00D508E5" w:rsidRDefault="00DE0F49" w:rsidP="00DE0F49">
      <w:pPr>
        <w:jc w:val="both"/>
      </w:pPr>
    </w:p>
    <w:p w14:paraId="55088DD8" w14:textId="5273CD58" w:rsidR="00DE0F49" w:rsidRPr="00D508E5" w:rsidRDefault="00DE0F49" w:rsidP="00DE0F49">
      <w:pPr>
        <w:jc w:val="both"/>
        <w:rPr>
          <w:bCs/>
          <w:i/>
          <w:iCs/>
        </w:rPr>
      </w:pPr>
      <w:r w:rsidRPr="00D508E5">
        <w:rPr>
          <w:bCs/>
          <w:i/>
          <w:iCs/>
        </w:rPr>
        <w:t xml:space="preserve">Case </w:t>
      </w:r>
      <w:r w:rsidR="00D508E5" w:rsidRPr="00D508E5">
        <w:rPr>
          <w:bCs/>
          <w:i/>
          <w:iCs/>
        </w:rPr>
        <w:t>Series</w:t>
      </w:r>
    </w:p>
    <w:p w14:paraId="44367EF2" w14:textId="77777777" w:rsidR="00DE0F49" w:rsidRPr="00D508E5" w:rsidRDefault="00DE0F49" w:rsidP="00DE0F49">
      <w:pPr>
        <w:jc w:val="both"/>
        <w:rPr>
          <w:b/>
        </w:rPr>
      </w:pPr>
    </w:p>
    <w:p w14:paraId="79B0DDD5" w14:textId="77777777" w:rsidR="00DE0F49" w:rsidRPr="00D508E5" w:rsidRDefault="00DE0F49" w:rsidP="00DE0F49">
      <w:pPr>
        <w:jc w:val="both"/>
      </w:pPr>
      <w:r w:rsidRPr="00D508E5">
        <w:rPr>
          <w:b/>
        </w:rPr>
        <w:tab/>
      </w:r>
      <w:r w:rsidRPr="00D508E5">
        <w:t>Patients</w:t>
      </w:r>
    </w:p>
    <w:p w14:paraId="113B1F01" w14:textId="77777777" w:rsidR="00DE0F49" w:rsidRPr="00D508E5" w:rsidRDefault="00DE0F49" w:rsidP="00DE0F49">
      <w:pPr>
        <w:jc w:val="both"/>
        <w:rPr>
          <w:rFonts w:eastAsia="Times New Roman"/>
        </w:rPr>
      </w:pPr>
      <w:r w:rsidRPr="00D508E5">
        <w:rPr>
          <w:rFonts w:eastAsia="Times New Roman"/>
          <w:color w:val="212121"/>
          <w:shd w:val="clear" w:color="auto" w:fill="FFFFFF"/>
        </w:rPr>
        <w:t>The patients included in the case series study are all</w:t>
      </w:r>
      <w:r w:rsidRPr="00D508E5">
        <w:rPr>
          <w:rFonts w:eastAsia="Times New Roman"/>
          <w:color w:val="FF0000"/>
          <w:shd w:val="clear" w:color="auto" w:fill="FFFFFF"/>
        </w:rPr>
        <w:t xml:space="preserve"> </w:t>
      </w:r>
      <w:r w:rsidRPr="00D508E5">
        <w:rPr>
          <w:rFonts w:eastAsia="Times New Roman"/>
          <w:color w:val="212121"/>
          <w:shd w:val="clear" w:color="auto" w:fill="FFFFFF"/>
        </w:rPr>
        <w:t xml:space="preserve">consecutive patients with paradoxical HS referred to the HS clinic of Hospital Universitario Virgen de las Nieves. </w:t>
      </w:r>
    </w:p>
    <w:p w14:paraId="24212F20" w14:textId="77777777" w:rsidR="00DE0F49" w:rsidRPr="00D508E5" w:rsidRDefault="00DE0F49" w:rsidP="00DE0F49">
      <w:pPr>
        <w:jc w:val="both"/>
        <w:rPr>
          <w:rFonts w:eastAsia="Times New Roman"/>
        </w:rPr>
      </w:pPr>
    </w:p>
    <w:p w14:paraId="28199639" w14:textId="01A33533" w:rsidR="00DE0F49" w:rsidRPr="00D508E5" w:rsidRDefault="00DE0F49" w:rsidP="00DE0F49">
      <w:pPr>
        <w:jc w:val="both"/>
        <w:rPr>
          <w:rFonts w:eastAsia="Times New Roman"/>
        </w:rPr>
      </w:pPr>
      <w:r w:rsidRPr="00D508E5">
        <w:rPr>
          <w:rFonts w:eastAsia="Times New Roman"/>
        </w:rPr>
        <w:tab/>
      </w:r>
      <w:r w:rsidRPr="00D508E5">
        <w:rPr>
          <w:rFonts w:eastAsia="Times New Roman"/>
          <w:color w:val="212121"/>
          <w:shd w:val="clear" w:color="auto" w:fill="FFFFFF"/>
        </w:rPr>
        <w:t xml:space="preserve">Inclusion </w:t>
      </w:r>
      <w:r w:rsidR="00D508E5" w:rsidRPr="00D508E5">
        <w:rPr>
          <w:rFonts w:eastAsia="Times New Roman"/>
          <w:color w:val="212121"/>
          <w:shd w:val="clear" w:color="auto" w:fill="FFFFFF"/>
        </w:rPr>
        <w:t>Criteria</w:t>
      </w:r>
    </w:p>
    <w:p w14:paraId="78A4DA00" w14:textId="7972ACB3" w:rsidR="00DE0F49" w:rsidRPr="00D508E5" w:rsidRDefault="00DE0F49" w:rsidP="00335D5F">
      <w:pPr>
        <w:rPr>
          <w:rFonts w:eastAsia="Times New Roman"/>
          <w:color w:val="212121"/>
          <w:shd w:val="clear" w:color="auto" w:fill="FFFFFF"/>
        </w:rPr>
      </w:pPr>
      <w:r w:rsidRPr="00D508E5">
        <w:rPr>
          <w:rFonts w:eastAsia="Times New Roman"/>
          <w:color w:val="212121"/>
          <w:shd w:val="clear" w:color="auto" w:fill="FFFFFF"/>
        </w:rPr>
        <w:t xml:space="preserve">Definition of paradoxical HS: patients treated with </w:t>
      </w:r>
      <w:r w:rsidR="0066181D" w:rsidRPr="00D508E5">
        <w:rPr>
          <w:color w:val="000000"/>
        </w:rPr>
        <w:t>TNF-</w:t>
      </w:r>
      <w:r w:rsidR="0066181D" w:rsidRPr="00D508E5">
        <w:rPr>
          <w:rFonts w:eastAsia="Times New Roman"/>
          <w:color w:val="000000"/>
          <w:shd w:val="clear" w:color="auto" w:fill="FFFFFF"/>
        </w:rPr>
        <w:t xml:space="preserve">α </w:t>
      </w:r>
      <w:r w:rsidR="0066181D" w:rsidRPr="00D508E5">
        <w:rPr>
          <w:color w:val="000000"/>
        </w:rPr>
        <w:t>inhibitors</w:t>
      </w:r>
      <w:r w:rsidRPr="00D508E5">
        <w:rPr>
          <w:rFonts w:eastAsia="Times New Roman"/>
          <w:color w:val="212121"/>
          <w:shd w:val="clear" w:color="auto" w:fill="FFFFFF"/>
        </w:rPr>
        <w:t>, adalimumab, infliximab, etanercept</w:t>
      </w:r>
      <w:r w:rsidR="00335D5F" w:rsidRPr="00D508E5">
        <w:rPr>
          <w:rFonts w:eastAsia="Times New Roman"/>
          <w:color w:val="212121"/>
          <w:shd w:val="clear" w:color="auto" w:fill="FFFFFF"/>
        </w:rPr>
        <w:t xml:space="preserve">, </w:t>
      </w:r>
      <w:r w:rsidR="00093B25" w:rsidRPr="00D508E5">
        <w:rPr>
          <w:rFonts w:eastAsia="Times New Roman"/>
          <w:color w:val="212121"/>
          <w:shd w:val="clear" w:color="auto" w:fill="FFFFFF"/>
        </w:rPr>
        <w:t xml:space="preserve">golimumab, </w:t>
      </w:r>
      <w:r w:rsidR="00D508E5">
        <w:rPr>
          <w:rFonts w:eastAsia="Times New Roman"/>
          <w:color w:val="212121"/>
          <w:shd w:val="clear" w:color="auto" w:fill="FFFFFF"/>
        </w:rPr>
        <w:t xml:space="preserve">or </w:t>
      </w:r>
      <w:r w:rsidR="00093B25" w:rsidRPr="00D508E5">
        <w:rPr>
          <w:rFonts w:eastAsia="Times New Roman"/>
          <w:color w:val="212121"/>
          <w:shd w:val="clear" w:color="auto" w:fill="FFFFFF"/>
        </w:rPr>
        <w:t xml:space="preserve">certolizumab-pegol </w:t>
      </w:r>
      <w:r w:rsidR="00335D5F" w:rsidRPr="00D508E5">
        <w:rPr>
          <w:rFonts w:eastAsia="Times New Roman"/>
          <w:color w:val="212121"/>
          <w:shd w:val="clear" w:color="auto" w:fill="FFFFFF"/>
        </w:rPr>
        <w:t>who developed HS after starting the biologic</w:t>
      </w:r>
      <w:r w:rsidR="000C57BE" w:rsidRPr="00D508E5">
        <w:rPr>
          <w:rFonts w:eastAsia="Times New Roman"/>
          <w:color w:val="212121"/>
          <w:shd w:val="clear" w:color="auto" w:fill="FFFFFF"/>
        </w:rPr>
        <w:t>al</w:t>
      </w:r>
      <w:r w:rsidR="00335D5F" w:rsidRPr="00D508E5">
        <w:rPr>
          <w:rFonts w:eastAsia="Times New Roman"/>
          <w:color w:val="212121"/>
          <w:shd w:val="clear" w:color="auto" w:fill="FFFFFF"/>
        </w:rPr>
        <w:t xml:space="preserve"> treatment</w:t>
      </w:r>
      <w:r w:rsidR="00D508E5">
        <w:rPr>
          <w:rFonts w:eastAsia="Times New Roman"/>
          <w:color w:val="212121"/>
          <w:shd w:val="clear" w:color="auto" w:fill="FFFFFF"/>
        </w:rPr>
        <w:t>.</w:t>
      </w:r>
    </w:p>
    <w:p w14:paraId="674C3546" w14:textId="77777777" w:rsidR="00DE0F49" w:rsidRPr="00D508E5" w:rsidRDefault="00DE0F49" w:rsidP="00DE0F49">
      <w:pPr>
        <w:jc w:val="both"/>
        <w:rPr>
          <w:rFonts w:eastAsia="Times New Roman"/>
        </w:rPr>
      </w:pPr>
    </w:p>
    <w:p w14:paraId="71A4A142" w14:textId="3A68963B" w:rsidR="00DE0F49" w:rsidRPr="00D508E5" w:rsidRDefault="00DE0F49" w:rsidP="00DE0F49">
      <w:pPr>
        <w:jc w:val="both"/>
        <w:rPr>
          <w:rFonts w:eastAsia="Times New Roman"/>
        </w:rPr>
      </w:pPr>
      <w:r w:rsidRPr="00D508E5">
        <w:rPr>
          <w:rFonts w:eastAsia="Times New Roman"/>
        </w:rPr>
        <w:tab/>
        <w:t xml:space="preserve">Exclusion </w:t>
      </w:r>
      <w:r w:rsidR="00D508E5" w:rsidRPr="00D508E5">
        <w:rPr>
          <w:rFonts w:eastAsia="Times New Roman"/>
        </w:rPr>
        <w:t>Criteria</w:t>
      </w:r>
    </w:p>
    <w:p w14:paraId="39F7AF14" w14:textId="4BC4E376" w:rsidR="00DE0F49" w:rsidRPr="00D508E5" w:rsidRDefault="00093B25" w:rsidP="00DE0F49">
      <w:pPr>
        <w:jc w:val="both"/>
      </w:pPr>
      <w:r w:rsidRPr="00D508E5">
        <w:rPr>
          <w:color w:val="222222"/>
          <w:shd w:val="clear" w:color="auto" w:fill="FFFFFF"/>
        </w:rPr>
        <w:t xml:space="preserve">Patients who developed paradoxical </w:t>
      </w:r>
      <w:r w:rsidR="00D508E5">
        <w:rPr>
          <w:color w:val="222222"/>
          <w:shd w:val="clear" w:color="auto" w:fill="FFFFFF"/>
        </w:rPr>
        <w:t>HS</w:t>
      </w:r>
      <w:r w:rsidRPr="00D508E5">
        <w:rPr>
          <w:color w:val="222222"/>
          <w:shd w:val="clear" w:color="auto" w:fill="FFFFFF"/>
        </w:rPr>
        <w:t xml:space="preserve"> under any biologic drug </w:t>
      </w:r>
      <w:r w:rsidR="00D508E5">
        <w:rPr>
          <w:color w:val="222222"/>
          <w:shd w:val="clear" w:color="auto" w:fill="FFFFFF"/>
        </w:rPr>
        <w:t>other than</w:t>
      </w:r>
      <w:r w:rsidRPr="00D508E5">
        <w:rPr>
          <w:color w:val="222222"/>
          <w:shd w:val="clear" w:color="auto" w:fill="FFFFFF"/>
        </w:rPr>
        <w:t xml:space="preserve"> TNF</w:t>
      </w:r>
      <w:r w:rsidR="00D508E5">
        <w:rPr>
          <w:color w:val="222222"/>
          <w:shd w:val="clear" w:color="auto" w:fill="FFFFFF"/>
        </w:rPr>
        <w:t xml:space="preserve"> </w:t>
      </w:r>
      <w:r w:rsidRPr="00D508E5">
        <w:rPr>
          <w:color w:val="222222"/>
          <w:shd w:val="clear" w:color="auto" w:fill="FFFFFF"/>
        </w:rPr>
        <w:t>inhibitors</w:t>
      </w:r>
      <w:r w:rsidR="00D508E5">
        <w:rPr>
          <w:color w:val="222222"/>
          <w:shd w:val="clear" w:color="auto" w:fill="FFFFFF"/>
        </w:rPr>
        <w:t>.</w:t>
      </w:r>
    </w:p>
    <w:p w14:paraId="28BD9727" w14:textId="77777777" w:rsidR="00093B25" w:rsidRPr="00D508E5" w:rsidRDefault="00093B25" w:rsidP="00DE0F49">
      <w:pPr>
        <w:jc w:val="both"/>
      </w:pPr>
    </w:p>
    <w:p w14:paraId="6E047505" w14:textId="34FC0A7E" w:rsidR="00DE0F49" w:rsidRPr="00D508E5" w:rsidRDefault="00DE0F49" w:rsidP="00DE0F49">
      <w:pPr>
        <w:ind w:firstLine="708"/>
        <w:jc w:val="both"/>
        <w:rPr>
          <w:rFonts w:eastAsia="Times New Roman"/>
        </w:rPr>
      </w:pPr>
      <w:r w:rsidRPr="00D508E5">
        <w:rPr>
          <w:rFonts w:eastAsia="Times New Roman"/>
          <w:color w:val="212121"/>
          <w:shd w:val="clear" w:color="auto" w:fill="FFFFFF"/>
        </w:rPr>
        <w:t xml:space="preserve">Variables of </w:t>
      </w:r>
      <w:r w:rsidR="00D508E5" w:rsidRPr="00D508E5">
        <w:rPr>
          <w:rFonts w:eastAsia="Times New Roman"/>
          <w:color w:val="212121"/>
          <w:shd w:val="clear" w:color="auto" w:fill="FFFFFF"/>
        </w:rPr>
        <w:t xml:space="preserve">Interest </w:t>
      </w:r>
    </w:p>
    <w:p w14:paraId="3C0A2A17" w14:textId="442B4A0E" w:rsidR="00DE0F49" w:rsidRPr="00D508E5" w:rsidRDefault="00DE0F49" w:rsidP="00DE0F49">
      <w:pPr>
        <w:pStyle w:val="StandardWeb"/>
        <w:spacing w:before="0" w:beforeAutospacing="0" w:after="0" w:afterAutospacing="0"/>
        <w:jc w:val="both"/>
      </w:pPr>
      <w:r w:rsidRPr="00D508E5">
        <w:rPr>
          <w:color w:val="212121"/>
          <w:shd w:val="clear" w:color="auto" w:fill="FFFFFF"/>
        </w:rPr>
        <w:t>Clinical and epidemiological features of HS were gathered through clinical interview and physical examination</w:t>
      </w:r>
      <w:r w:rsidR="00D508E5">
        <w:rPr>
          <w:color w:val="212121"/>
          <w:shd w:val="clear" w:color="auto" w:fill="FFFFFF"/>
        </w:rPr>
        <w:t>.</w:t>
      </w:r>
    </w:p>
    <w:p w14:paraId="6CFD9622" w14:textId="77777777" w:rsidR="00DE0F49" w:rsidRPr="00D508E5" w:rsidRDefault="00DE0F49" w:rsidP="00DE0F49">
      <w:pPr>
        <w:jc w:val="both"/>
        <w:rPr>
          <w:rFonts w:eastAsia="Times New Roman"/>
        </w:rPr>
      </w:pPr>
    </w:p>
    <w:p w14:paraId="57759820" w14:textId="77777777" w:rsidR="00DE0F49" w:rsidRPr="00D508E5" w:rsidRDefault="00DE0F49" w:rsidP="00DE0F49">
      <w:pPr>
        <w:jc w:val="both"/>
        <w:rPr>
          <w:rFonts w:eastAsia="Times New Roman"/>
        </w:rPr>
      </w:pPr>
    </w:p>
    <w:p w14:paraId="5559F48A" w14:textId="328A5391" w:rsidR="00DE0F49" w:rsidRPr="00D508E5" w:rsidRDefault="00DE0F49" w:rsidP="00DE0F49">
      <w:pPr>
        <w:jc w:val="both"/>
        <w:rPr>
          <w:rFonts w:eastAsia="Times New Roman"/>
          <w:bCs/>
          <w:i/>
          <w:iCs/>
          <w:color w:val="212121"/>
          <w:shd w:val="clear" w:color="auto" w:fill="FFFFFF"/>
        </w:rPr>
      </w:pPr>
      <w:r w:rsidRPr="00D508E5">
        <w:rPr>
          <w:rFonts w:eastAsia="Times New Roman"/>
          <w:bCs/>
          <w:i/>
          <w:iCs/>
          <w:color w:val="212121"/>
          <w:shd w:val="clear" w:color="auto" w:fill="FFFFFF"/>
        </w:rPr>
        <w:t xml:space="preserve">Systematic </w:t>
      </w:r>
      <w:r w:rsidR="00D508E5" w:rsidRPr="00D508E5">
        <w:rPr>
          <w:rFonts w:eastAsia="Times New Roman"/>
          <w:bCs/>
          <w:i/>
          <w:iCs/>
          <w:color w:val="212121"/>
          <w:shd w:val="clear" w:color="auto" w:fill="FFFFFF"/>
        </w:rPr>
        <w:t>Review</w:t>
      </w:r>
    </w:p>
    <w:p w14:paraId="77074811" w14:textId="77777777" w:rsidR="00DE0F49" w:rsidRPr="00D508E5" w:rsidRDefault="00DE0F49" w:rsidP="00DE0F49">
      <w:pPr>
        <w:jc w:val="both"/>
        <w:rPr>
          <w:rFonts w:eastAsia="Times New Roman"/>
          <w:b/>
        </w:rPr>
      </w:pPr>
    </w:p>
    <w:p w14:paraId="6D64B0A1" w14:textId="5287D443" w:rsidR="00DE0F49" w:rsidRPr="00D508E5" w:rsidRDefault="00DE0F49" w:rsidP="00DE0F49">
      <w:pPr>
        <w:ind w:firstLine="708"/>
        <w:jc w:val="both"/>
        <w:rPr>
          <w:rFonts w:eastAsia="Times New Roman"/>
          <w:color w:val="212121"/>
          <w:shd w:val="clear" w:color="auto" w:fill="FFFFFF"/>
        </w:rPr>
      </w:pPr>
      <w:r w:rsidRPr="00D508E5">
        <w:rPr>
          <w:rFonts w:eastAsia="Times New Roman"/>
          <w:color w:val="212121"/>
          <w:shd w:val="clear" w:color="auto" w:fill="FFFFFF"/>
        </w:rPr>
        <w:t xml:space="preserve">Search </w:t>
      </w:r>
      <w:r w:rsidR="00D508E5" w:rsidRPr="00D508E5">
        <w:rPr>
          <w:rFonts w:eastAsia="Times New Roman"/>
          <w:color w:val="212121"/>
          <w:shd w:val="clear" w:color="auto" w:fill="FFFFFF"/>
        </w:rPr>
        <w:t>Criteria</w:t>
      </w:r>
    </w:p>
    <w:p w14:paraId="4AD90573" w14:textId="3C1E2768" w:rsidR="00DE0F49" w:rsidRPr="00D508E5" w:rsidRDefault="00D508E5" w:rsidP="00DE0F49">
      <w:pPr>
        <w:jc w:val="both"/>
        <w:rPr>
          <w:rFonts w:eastAsia="Times New Roman"/>
        </w:rPr>
      </w:pPr>
      <w:r>
        <w:rPr>
          <w:rFonts w:eastAsia="Times New Roman"/>
          <w:color w:val="212121"/>
          <w:shd w:val="clear" w:color="auto" w:fill="FFFFFF"/>
        </w:rPr>
        <w:t>(</w:t>
      </w:r>
      <w:r w:rsidR="00DE0F49" w:rsidRPr="00D508E5">
        <w:rPr>
          <w:rFonts w:eastAsia="Times New Roman"/>
          <w:color w:val="212121"/>
          <w:shd w:val="clear" w:color="auto" w:fill="FFFFFF"/>
        </w:rPr>
        <w:t xml:space="preserve">1) </w:t>
      </w:r>
      <w:r w:rsidRPr="00D508E5">
        <w:rPr>
          <w:rFonts w:eastAsia="Times New Roman"/>
          <w:color w:val="212121"/>
          <w:shd w:val="clear" w:color="auto" w:fill="FFFFFF"/>
        </w:rPr>
        <w:t xml:space="preserve">Articles </w:t>
      </w:r>
      <w:r w:rsidR="00DE0F49" w:rsidRPr="00D508E5">
        <w:rPr>
          <w:rFonts w:eastAsia="Times New Roman"/>
          <w:color w:val="212121"/>
          <w:shd w:val="clear" w:color="auto" w:fill="FFFFFF"/>
        </w:rPr>
        <w:t xml:space="preserve">published in scientific journals included in </w:t>
      </w:r>
      <w:r w:rsidRPr="00D508E5">
        <w:rPr>
          <w:rFonts w:eastAsia="Times New Roman"/>
          <w:color w:val="212121"/>
          <w:shd w:val="clear" w:color="auto" w:fill="FFFFFF"/>
        </w:rPr>
        <w:t xml:space="preserve">MEDLINE </w:t>
      </w:r>
      <w:r w:rsidR="00DE0F49" w:rsidRPr="00D508E5">
        <w:rPr>
          <w:rFonts w:eastAsia="Times New Roman"/>
          <w:color w:val="212121"/>
          <w:shd w:val="clear" w:color="auto" w:fill="FFFFFF"/>
        </w:rPr>
        <w:t xml:space="preserve">or </w:t>
      </w:r>
      <w:r w:rsidRPr="00D508E5">
        <w:rPr>
          <w:rFonts w:eastAsia="Times New Roman"/>
          <w:color w:val="212121"/>
          <w:shd w:val="clear" w:color="auto" w:fill="FFFFFF"/>
        </w:rPr>
        <w:t xml:space="preserve">EMBASE </w:t>
      </w:r>
      <w:r w:rsidR="00DE0F49" w:rsidRPr="00D508E5">
        <w:rPr>
          <w:rFonts w:eastAsia="Times New Roman"/>
          <w:color w:val="212121"/>
          <w:shd w:val="clear" w:color="auto" w:fill="FFFFFF"/>
        </w:rPr>
        <w:t>databases</w:t>
      </w:r>
      <w:r>
        <w:rPr>
          <w:rFonts w:eastAsia="Times New Roman"/>
          <w:color w:val="212121"/>
          <w:shd w:val="clear" w:color="auto" w:fill="FFFFFF"/>
        </w:rPr>
        <w:t xml:space="preserve"> and</w:t>
      </w:r>
      <w:r w:rsidR="00DE0F49" w:rsidRPr="00D508E5">
        <w:rPr>
          <w:rFonts w:eastAsia="Times New Roman"/>
          <w:color w:val="212121"/>
          <w:shd w:val="clear" w:color="auto" w:fill="FFFFFF"/>
        </w:rPr>
        <w:t xml:space="preserve"> </w:t>
      </w:r>
      <w:r>
        <w:rPr>
          <w:rFonts w:eastAsia="Times New Roman"/>
          <w:color w:val="212121"/>
          <w:shd w:val="clear" w:color="auto" w:fill="FFFFFF"/>
        </w:rPr>
        <w:t>(</w:t>
      </w:r>
      <w:r w:rsidR="00DE0F49" w:rsidRPr="00D508E5">
        <w:rPr>
          <w:rFonts w:eastAsia="Times New Roman"/>
          <w:color w:val="212121"/>
          <w:shd w:val="clear" w:color="auto" w:fill="FFFFFF"/>
        </w:rPr>
        <w:t>2) articles written in English, Spanish, French</w:t>
      </w:r>
      <w:r>
        <w:rPr>
          <w:rFonts w:eastAsia="Times New Roman"/>
          <w:color w:val="212121"/>
          <w:shd w:val="clear" w:color="auto" w:fill="FFFFFF"/>
        </w:rPr>
        <w:t>,</w:t>
      </w:r>
      <w:r w:rsidR="00DE0F49" w:rsidRPr="00D508E5">
        <w:rPr>
          <w:rFonts w:eastAsia="Times New Roman"/>
          <w:color w:val="212121"/>
          <w:shd w:val="clear" w:color="auto" w:fill="FFFFFF"/>
        </w:rPr>
        <w:t xml:space="preserve"> or German</w:t>
      </w:r>
      <w:r>
        <w:rPr>
          <w:rFonts w:eastAsia="Times New Roman"/>
          <w:color w:val="212121"/>
          <w:shd w:val="clear" w:color="auto" w:fill="FFFFFF"/>
        </w:rPr>
        <w:t>.</w:t>
      </w:r>
      <w:r w:rsidR="00DE0F49" w:rsidRPr="00D508E5">
        <w:rPr>
          <w:rFonts w:eastAsia="Times New Roman"/>
          <w:color w:val="212121"/>
          <w:shd w:val="clear" w:color="auto" w:fill="FFFFFF"/>
        </w:rPr>
        <w:t xml:space="preserve"> All types of epidemiological studies regarding paradoxical </w:t>
      </w:r>
      <w:r>
        <w:rPr>
          <w:rFonts w:eastAsia="Times New Roman"/>
          <w:color w:val="212121"/>
          <w:shd w:val="clear" w:color="auto" w:fill="FFFFFF"/>
        </w:rPr>
        <w:t>HS</w:t>
      </w:r>
      <w:r w:rsidR="00DE0F49" w:rsidRPr="00D508E5">
        <w:rPr>
          <w:rFonts w:eastAsia="Times New Roman"/>
          <w:color w:val="212121"/>
          <w:shd w:val="clear" w:color="auto" w:fill="FFFFFF"/>
        </w:rPr>
        <w:t xml:space="preserve"> were included</w:t>
      </w:r>
      <w:r>
        <w:rPr>
          <w:rFonts w:eastAsia="Times New Roman"/>
          <w:color w:val="212121"/>
          <w:shd w:val="clear" w:color="auto" w:fill="FFFFFF"/>
        </w:rPr>
        <w:t>;</w:t>
      </w:r>
      <w:r w:rsidR="00DE0F49" w:rsidRPr="00D508E5">
        <w:rPr>
          <w:rFonts w:eastAsia="Times New Roman"/>
          <w:color w:val="212121"/>
          <w:shd w:val="clear" w:color="auto" w:fill="FFFFFF"/>
        </w:rPr>
        <w:t xml:space="preserve"> narrative reviews were excluded. </w:t>
      </w:r>
      <w:r>
        <w:rPr>
          <w:rFonts w:eastAsia="Times New Roman"/>
          <w:color w:val="212121"/>
          <w:shd w:val="clear" w:color="auto" w:fill="FFFFFF"/>
        </w:rPr>
        <w:t xml:space="preserve">The </w:t>
      </w:r>
      <w:r w:rsidRPr="00D508E5">
        <w:rPr>
          <w:rFonts w:eastAsia="Times New Roman"/>
          <w:color w:val="212121"/>
          <w:shd w:val="clear" w:color="auto" w:fill="FFFFFF"/>
        </w:rPr>
        <w:t xml:space="preserve">bibliographic </w:t>
      </w:r>
      <w:r w:rsidR="00DE0F49" w:rsidRPr="00D508E5">
        <w:rPr>
          <w:rFonts w:eastAsia="Times New Roman"/>
          <w:color w:val="212121"/>
          <w:shd w:val="clear" w:color="auto" w:fill="FFFFFF"/>
        </w:rPr>
        <w:t xml:space="preserve">search was performed </w:t>
      </w:r>
      <w:r>
        <w:rPr>
          <w:rFonts w:eastAsia="Times New Roman"/>
          <w:color w:val="212121"/>
          <w:shd w:val="clear" w:color="auto" w:fill="FFFFFF"/>
        </w:rPr>
        <w:t xml:space="preserve">on </w:t>
      </w:r>
      <w:r w:rsidR="00094F8C" w:rsidRPr="00D508E5">
        <w:rPr>
          <w:rFonts w:eastAsia="Times New Roman"/>
          <w:color w:val="212121"/>
          <w:shd w:val="clear" w:color="auto" w:fill="FFFFFF"/>
        </w:rPr>
        <w:t>January</w:t>
      </w:r>
      <w:r>
        <w:rPr>
          <w:rFonts w:eastAsia="Times New Roman"/>
          <w:color w:val="212121"/>
          <w:shd w:val="clear" w:color="auto" w:fill="FFFFFF"/>
        </w:rPr>
        <w:t xml:space="preserve"> 7,</w:t>
      </w:r>
      <w:r w:rsidR="00094F8C" w:rsidRPr="00D508E5">
        <w:rPr>
          <w:rFonts w:eastAsia="Times New Roman"/>
          <w:color w:val="212121"/>
          <w:shd w:val="clear" w:color="auto" w:fill="FFFFFF"/>
        </w:rPr>
        <w:t xml:space="preserve"> 2020</w:t>
      </w:r>
      <w:r>
        <w:rPr>
          <w:rFonts w:eastAsia="Times New Roman"/>
          <w:color w:val="212121"/>
          <w:shd w:val="clear" w:color="auto" w:fill="FFFFFF"/>
        </w:rPr>
        <w:t>,</w:t>
      </w:r>
      <w:r w:rsidR="00094F8C" w:rsidRPr="00D508E5">
        <w:rPr>
          <w:rFonts w:eastAsia="Times New Roman"/>
          <w:b/>
          <w:bCs/>
          <w:color w:val="212121"/>
          <w:shd w:val="clear" w:color="auto" w:fill="FFFFFF"/>
        </w:rPr>
        <w:t xml:space="preserve"> </w:t>
      </w:r>
      <w:r w:rsidR="00DE0F49" w:rsidRPr="00D508E5">
        <w:rPr>
          <w:rFonts w:eastAsia="Times New Roman"/>
          <w:color w:val="212121"/>
          <w:shd w:val="clear" w:color="auto" w:fill="FFFFFF"/>
        </w:rPr>
        <w:t>using Pub</w:t>
      </w:r>
      <w:r w:rsidRPr="00D508E5">
        <w:rPr>
          <w:rFonts w:eastAsia="Times New Roman"/>
          <w:color w:val="212121"/>
          <w:shd w:val="clear" w:color="auto" w:fill="FFFFFF"/>
        </w:rPr>
        <w:t>M</w:t>
      </w:r>
      <w:r w:rsidR="00DE0F49" w:rsidRPr="00D508E5">
        <w:rPr>
          <w:rFonts w:eastAsia="Times New Roman"/>
          <w:color w:val="212121"/>
          <w:shd w:val="clear" w:color="auto" w:fill="FFFFFF"/>
        </w:rPr>
        <w:t xml:space="preserve">ed and </w:t>
      </w:r>
      <w:r w:rsidRPr="00D508E5">
        <w:rPr>
          <w:rFonts w:eastAsia="Times New Roman"/>
          <w:color w:val="212121"/>
          <w:shd w:val="clear" w:color="auto" w:fill="FFFFFF"/>
        </w:rPr>
        <w:t xml:space="preserve">EMBASE </w:t>
      </w:r>
      <w:r w:rsidR="00DE0F49" w:rsidRPr="00D508E5">
        <w:rPr>
          <w:rFonts w:eastAsia="Times New Roman"/>
          <w:color w:val="212121"/>
          <w:shd w:val="clear" w:color="auto" w:fill="FFFFFF"/>
        </w:rPr>
        <w:t xml:space="preserve">databases. </w:t>
      </w:r>
    </w:p>
    <w:p w14:paraId="02B2FB73" w14:textId="77777777" w:rsidR="00DE0F49" w:rsidRPr="00D508E5" w:rsidRDefault="00DE0F49" w:rsidP="00DE0F49">
      <w:pPr>
        <w:jc w:val="both"/>
        <w:rPr>
          <w:rFonts w:eastAsia="Times New Roman"/>
          <w:color w:val="212121"/>
          <w:shd w:val="clear" w:color="auto" w:fill="FFFFFF"/>
        </w:rPr>
      </w:pPr>
    </w:p>
    <w:p w14:paraId="2765291F" w14:textId="77777777" w:rsidR="00DE0F49" w:rsidRPr="00D508E5" w:rsidRDefault="00DE0F49" w:rsidP="00DE0F49">
      <w:pPr>
        <w:jc w:val="both"/>
        <w:rPr>
          <w:rFonts w:eastAsia="Times New Roman"/>
        </w:rPr>
      </w:pPr>
    </w:p>
    <w:p w14:paraId="6EE74288" w14:textId="7D0F643E" w:rsidR="00DE0F49" w:rsidRPr="00D508E5" w:rsidRDefault="00DE0F49" w:rsidP="00DE0F49">
      <w:pPr>
        <w:ind w:firstLine="708"/>
        <w:jc w:val="both"/>
        <w:rPr>
          <w:rFonts w:eastAsia="Times New Roman"/>
        </w:rPr>
      </w:pPr>
      <w:r w:rsidRPr="00D508E5">
        <w:rPr>
          <w:rFonts w:eastAsia="Times New Roman"/>
        </w:rPr>
        <w:t xml:space="preserve">Search </w:t>
      </w:r>
      <w:r w:rsidR="0076466C" w:rsidRPr="00D508E5">
        <w:rPr>
          <w:rFonts w:eastAsia="Times New Roman"/>
        </w:rPr>
        <w:t>Algorithm</w:t>
      </w:r>
    </w:p>
    <w:p w14:paraId="0333136F" w14:textId="0723A2E8" w:rsidR="00094F8C" w:rsidRPr="00D508E5" w:rsidRDefault="00094F8C" w:rsidP="00DE0F49">
      <w:pPr>
        <w:jc w:val="both"/>
        <w:rPr>
          <w:rFonts w:eastAsia="Times New Roman"/>
          <w:i/>
          <w:strike/>
        </w:rPr>
      </w:pPr>
      <w:r w:rsidRPr="00D508E5">
        <w:t>(PARADOXICAL OR DRUG</w:t>
      </w:r>
      <w:r w:rsidR="002710A1" w:rsidRPr="00D508E5">
        <w:t xml:space="preserve"> </w:t>
      </w:r>
      <w:r w:rsidRPr="00D508E5">
        <w:t>INDUCED) AND (HIDRADENITIS SUPPURATIVA OR ACNE INVERSA) AND (ADALIMUMAB OR INFLIXIMAB OR ETANERCEPT OR GOLIMUMAB OR CERTOLIZUMAB-PEGOL OR BIOLOGIC AGENTS).</w:t>
      </w:r>
    </w:p>
    <w:p w14:paraId="780880A4" w14:textId="77777777" w:rsidR="00DE0F49" w:rsidRPr="00D508E5" w:rsidRDefault="00DE0F49" w:rsidP="00DE0F49">
      <w:pPr>
        <w:jc w:val="both"/>
        <w:rPr>
          <w:rFonts w:eastAsia="Times New Roman"/>
        </w:rPr>
      </w:pPr>
    </w:p>
    <w:p w14:paraId="793C0192" w14:textId="6AF3E859" w:rsidR="00DE0F49" w:rsidRPr="00D508E5" w:rsidRDefault="00DE0F49" w:rsidP="00DE0F49">
      <w:pPr>
        <w:jc w:val="both"/>
        <w:rPr>
          <w:rFonts w:eastAsia="Times New Roman"/>
        </w:rPr>
      </w:pPr>
      <w:r w:rsidRPr="00D508E5">
        <w:rPr>
          <w:rFonts w:eastAsia="Times New Roman"/>
        </w:rPr>
        <w:tab/>
        <w:t xml:space="preserve">Data </w:t>
      </w:r>
      <w:r w:rsidR="0076466C" w:rsidRPr="00D508E5">
        <w:rPr>
          <w:rFonts w:eastAsia="Times New Roman"/>
        </w:rPr>
        <w:t xml:space="preserve">Analysis </w:t>
      </w:r>
    </w:p>
    <w:p w14:paraId="0E1530C2" w14:textId="77777777" w:rsidR="00DE0F49" w:rsidRPr="00D508E5" w:rsidRDefault="00DE0F49" w:rsidP="00DE0F49">
      <w:pPr>
        <w:jc w:val="both"/>
        <w:rPr>
          <w:rFonts w:eastAsia="Times New Roman"/>
        </w:rPr>
      </w:pPr>
      <w:r w:rsidRPr="00D508E5">
        <w:rPr>
          <w:rFonts w:eastAsia="Times New Roman"/>
          <w:color w:val="212121"/>
          <w:shd w:val="clear" w:color="auto" w:fill="FFFFFF"/>
        </w:rPr>
        <w:t>Two independent reviewers examined the title and abstract of the articles obtained in the first search to recognize relevant studies. Full texts of all studies meeting the inclusion criteria were reviewed, and their bibliographic references were checked for additional sources. The articles upon whose relevance both reviewers agreed were included in the analysis. In the case of disagreement, a third reviewer analysed the article.</w:t>
      </w:r>
    </w:p>
    <w:p w14:paraId="5DFC398C" w14:textId="77777777" w:rsidR="00DE0F49" w:rsidRPr="00D508E5" w:rsidRDefault="00DE0F49" w:rsidP="00DE0F49">
      <w:pPr>
        <w:jc w:val="both"/>
        <w:rPr>
          <w:rFonts w:eastAsia="Times New Roman"/>
        </w:rPr>
      </w:pPr>
    </w:p>
    <w:p w14:paraId="30389D1B" w14:textId="694CCCBB" w:rsidR="00DE0F49" w:rsidRPr="00D508E5" w:rsidRDefault="00DE0F49" w:rsidP="00DE0F49">
      <w:pPr>
        <w:jc w:val="both"/>
        <w:rPr>
          <w:rFonts w:eastAsia="Times New Roman"/>
        </w:rPr>
      </w:pPr>
      <w:r w:rsidRPr="00D508E5">
        <w:rPr>
          <w:rFonts w:eastAsia="Times New Roman"/>
        </w:rPr>
        <w:lastRenderedPageBreak/>
        <w:tab/>
        <w:t xml:space="preserve">Statistical </w:t>
      </w:r>
      <w:r w:rsidR="0076466C" w:rsidRPr="00D508E5">
        <w:rPr>
          <w:rFonts w:eastAsia="Times New Roman"/>
        </w:rPr>
        <w:t>Analysis</w:t>
      </w:r>
    </w:p>
    <w:p w14:paraId="06EFE835" w14:textId="1AC4B06B" w:rsidR="00DE0F49" w:rsidRPr="00D508E5" w:rsidRDefault="00DE0F49" w:rsidP="00DE0F49">
      <w:pPr>
        <w:jc w:val="both"/>
        <w:rPr>
          <w:rFonts w:eastAsia="Times New Roman"/>
        </w:rPr>
      </w:pPr>
      <w:r w:rsidRPr="00D508E5">
        <w:rPr>
          <w:rFonts w:eastAsia="Times New Roman"/>
        </w:rPr>
        <w:t xml:space="preserve">Descriptive statistics were used to present characteristics of the sample. The Kolmogorov-Smirnov test was used to check the normality of the variables. Continuous data </w:t>
      </w:r>
      <w:r w:rsidR="00DF3B48" w:rsidRPr="00D508E5">
        <w:rPr>
          <w:rFonts w:eastAsia="Times New Roman"/>
        </w:rPr>
        <w:t xml:space="preserve">(delay from </w:t>
      </w:r>
      <w:r w:rsidR="0045292A" w:rsidRPr="00D508E5">
        <w:rPr>
          <w:color w:val="000000"/>
        </w:rPr>
        <w:t>TNF-</w:t>
      </w:r>
      <w:r w:rsidR="0045292A" w:rsidRPr="00D508E5">
        <w:rPr>
          <w:rFonts w:eastAsia="Times New Roman"/>
          <w:color w:val="000000"/>
          <w:shd w:val="clear" w:color="auto" w:fill="FFFFFF"/>
        </w:rPr>
        <w:t xml:space="preserve">α </w:t>
      </w:r>
      <w:r w:rsidR="0045292A" w:rsidRPr="00D508E5">
        <w:rPr>
          <w:color w:val="000000"/>
        </w:rPr>
        <w:t>inhibitor</w:t>
      </w:r>
      <w:r w:rsidR="00DF3B48" w:rsidRPr="00D508E5">
        <w:rPr>
          <w:rFonts w:eastAsia="Times New Roman"/>
        </w:rPr>
        <w:t xml:space="preserve"> exposure)</w:t>
      </w:r>
      <w:r w:rsidR="003726A0" w:rsidRPr="00D508E5">
        <w:rPr>
          <w:rFonts w:eastAsia="Times New Roman"/>
        </w:rPr>
        <w:t xml:space="preserve"> </w:t>
      </w:r>
      <w:r w:rsidR="00756364">
        <w:rPr>
          <w:rFonts w:eastAsia="Times New Roman"/>
        </w:rPr>
        <w:t>are</w:t>
      </w:r>
      <w:r w:rsidRPr="00D508E5">
        <w:rPr>
          <w:rFonts w:eastAsia="Times New Roman"/>
        </w:rPr>
        <w:t xml:space="preserve"> expressed as </w:t>
      </w:r>
      <w:r w:rsidR="003726A0" w:rsidRPr="00D508E5">
        <w:rPr>
          <w:rFonts w:eastAsia="Times New Roman"/>
        </w:rPr>
        <w:t>th</w:t>
      </w:r>
      <w:r w:rsidR="00D27936" w:rsidRPr="00D508E5">
        <w:rPr>
          <w:rFonts w:eastAsia="Times New Roman"/>
        </w:rPr>
        <w:t>e</w:t>
      </w:r>
      <w:r w:rsidRPr="00D508E5">
        <w:rPr>
          <w:rFonts w:eastAsia="Times New Roman"/>
        </w:rPr>
        <w:t xml:space="preserve"> median and</w:t>
      </w:r>
      <w:r w:rsidR="003726A0" w:rsidRPr="00D508E5">
        <w:rPr>
          <w:rFonts w:eastAsia="Times New Roman"/>
        </w:rPr>
        <w:t xml:space="preserve"> range</w:t>
      </w:r>
      <w:r w:rsidRPr="00D508E5">
        <w:rPr>
          <w:rFonts w:eastAsia="Times New Roman"/>
        </w:rPr>
        <w:t xml:space="preserve">. The absolute and relative frequency distributions were estimated for qualitative variables. χ2 </w:t>
      </w:r>
      <w:r w:rsidR="00756364">
        <w:rPr>
          <w:rFonts w:eastAsia="Times New Roman"/>
        </w:rPr>
        <w:t xml:space="preserve">tests </w:t>
      </w:r>
      <w:r w:rsidRPr="00D508E5">
        <w:rPr>
          <w:rFonts w:eastAsia="Times New Roman"/>
        </w:rPr>
        <w:t>or Fisher</w:t>
      </w:r>
      <w:r w:rsidR="00756364">
        <w:rPr>
          <w:rFonts w:eastAsia="Times New Roman"/>
        </w:rPr>
        <w:t>’s</w:t>
      </w:r>
      <w:r w:rsidRPr="00D508E5">
        <w:rPr>
          <w:rFonts w:eastAsia="Times New Roman"/>
        </w:rPr>
        <w:t xml:space="preserve"> exact test when needed were used to compare therapeutic strategies (maintain biologic/switch or stop) and (stop/switch) regarding paradoxical HS. Significance was set for all tests at </w:t>
      </w:r>
      <w:r w:rsidR="00756364">
        <w:rPr>
          <w:rFonts w:eastAsia="Times New Roman"/>
        </w:rPr>
        <w:t>2-tailed</w:t>
      </w:r>
      <w:r w:rsidRPr="00D508E5">
        <w:rPr>
          <w:rFonts w:eastAsia="Times New Roman"/>
        </w:rPr>
        <w:t xml:space="preserve"> </w:t>
      </w:r>
      <w:r w:rsidRPr="00756364">
        <w:rPr>
          <w:rFonts w:eastAsia="Times New Roman"/>
          <w:i/>
          <w:iCs/>
        </w:rPr>
        <w:t>p</w:t>
      </w:r>
      <w:r w:rsidRPr="00D508E5">
        <w:rPr>
          <w:rFonts w:eastAsia="Times New Roman"/>
        </w:rPr>
        <w:t xml:space="preserve"> &lt;</w:t>
      </w:r>
      <w:r w:rsidR="00756364">
        <w:rPr>
          <w:rFonts w:eastAsia="Times New Roman"/>
        </w:rPr>
        <w:t xml:space="preserve"> 0</w:t>
      </w:r>
      <w:r w:rsidRPr="00D508E5">
        <w:rPr>
          <w:rFonts w:eastAsia="Times New Roman"/>
        </w:rPr>
        <w:t xml:space="preserve">.05. Statistical </w:t>
      </w:r>
      <w:r w:rsidR="00756364" w:rsidRPr="00D508E5">
        <w:rPr>
          <w:rFonts w:eastAsia="Times New Roman"/>
        </w:rPr>
        <w:t xml:space="preserve">analyses </w:t>
      </w:r>
      <w:r w:rsidRPr="00D508E5">
        <w:rPr>
          <w:rFonts w:eastAsia="Times New Roman"/>
        </w:rPr>
        <w:t xml:space="preserve">were performed using JMP version 9.0.1 (SAS </w:t>
      </w:r>
      <w:r w:rsidR="00756364" w:rsidRPr="00D508E5">
        <w:rPr>
          <w:rFonts w:eastAsia="Times New Roman"/>
        </w:rPr>
        <w:t>Institute</w:t>
      </w:r>
      <w:r w:rsidRPr="00D508E5">
        <w:rPr>
          <w:rFonts w:eastAsia="Times New Roman"/>
        </w:rPr>
        <w:t xml:space="preserve">, </w:t>
      </w:r>
      <w:r w:rsidR="00756364">
        <w:rPr>
          <w:rFonts w:eastAsia="Times New Roman"/>
        </w:rPr>
        <w:t>Cary, NC</w:t>
      </w:r>
      <w:r w:rsidRPr="00D508E5">
        <w:rPr>
          <w:rFonts w:eastAsia="Times New Roman"/>
        </w:rPr>
        <w:t>, USA).</w:t>
      </w:r>
    </w:p>
    <w:p w14:paraId="3CABF319" w14:textId="77777777" w:rsidR="006A665E" w:rsidRPr="00D508E5" w:rsidRDefault="006A665E"/>
    <w:sectPr w:rsidR="006A665E" w:rsidRPr="00D508E5" w:rsidSect="00273C5A">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F49"/>
    <w:rsid w:val="0002523E"/>
    <w:rsid w:val="00093B25"/>
    <w:rsid w:val="00094F8C"/>
    <w:rsid w:val="000C57BE"/>
    <w:rsid w:val="001A3B8F"/>
    <w:rsid w:val="002710A1"/>
    <w:rsid w:val="00273C5A"/>
    <w:rsid w:val="00335D5F"/>
    <w:rsid w:val="003726A0"/>
    <w:rsid w:val="003D4C44"/>
    <w:rsid w:val="00411073"/>
    <w:rsid w:val="0045292A"/>
    <w:rsid w:val="0066181D"/>
    <w:rsid w:val="006A665E"/>
    <w:rsid w:val="00756364"/>
    <w:rsid w:val="0076466C"/>
    <w:rsid w:val="00890FC0"/>
    <w:rsid w:val="008B645D"/>
    <w:rsid w:val="009C2590"/>
    <w:rsid w:val="00AA090F"/>
    <w:rsid w:val="00AB3B38"/>
    <w:rsid w:val="00C26576"/>
    <w:rsid w:val="00CA24F4"/>
    <w:rsid w:val="00D27936"/>
    <w:rsid w:val="00D508E5"/>
    <w:rsid w:val="00DE0F49"/>
    <w:rsid w:val="00DF3B4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D0B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Standard">
    <w:name w:val="Normal"/>
    <w:aliases w:val="Cuerpo"/>
    <w:qFormat/>
    <w:rsid w:val="00DE0F49"/>
    <w:rPr>
      <w:rFonts w:ascii="Times New Roman" w:hAnsi="Times New Roman" w:cs="Times New Roman"/>
      <w:lang w:val="en-GB" w:eastAsia="es-ES_trad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E0F49"/>
    <w:pPr>
      <w:spacing w:before="100" w:beforeAutospacing="1" w:after="100" w:afterAutospacing="1"/>
    </w:pPr>
  </w:style>
  <w:style w:type="paragraph" w:styleId="Sprechblasentext">
    <w:name w:val="Balloon Text"/>
    <w:basedOn w:val="Standard"/>
    <w:link w:val="SprechblasentextZchn"/>
    <w:uiPriority w:val="99"/>
    <w:semiHidden/>
    <w:unhideWhenUsed/>
    <w:rsid w:val="00093B25"/>
    <w:rPr>
      <w:sz w:val="18"/>
      <w:szCs w:val="18"/>
    </w:rPr>
  </w:style>
  <w:style w:type="character" w:customStyle="1" w:styleId="SprechblasentextZchn">
    <w:name w:val="Sprechblasentext Zchn"/>
    <w:basedOn w:val="Absatz-Standardschriftart"/>
    <w:link w:val="Sprechblasentext"/>
    <w:uiPriority w:val="99"/>
    <w:semiHidden/>
    <w:rsid w:val="00093B25"/>
    <w:rPr>
      <w:rFonts w:ascii="Times New Roman" w:hAnsi="Times New Roman" w:cs="Times New Roman"/>
      <w:sz w:val="18"/>
      <w:szCs w:val="18"/>
      <w:lang w:val="en-GB"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728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A5D5CA2-F0C0-42AD-8C5E-FDD3847DC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2319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Vera Warren</cp:lastModifiedBy>
  <cp:revision>10</cp:revision>
  <dcterms:created xsi:type="dcterms:W3CDTF">2020-01-15T19:17:00Z</dcterms:created>
  <dcterms:modified xsi:type="dcterms:W3CDTF">2020-02-24T12:59:00Z</dcterms:modified>
</cp:coreProperties>
</file>