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B57" w:rsidRDefault="006C3480" w:rsidP="006C3480">
      <w:pPr>
        <w:spacing w:line="480" w:lineRule="auto"/>
        <w:jc w:val="both"/>
        <w:outlineLvl w:val="0"/>
        <w:rPr>
          <w:rFonts w:ascii="Calibri" w:hAnsi="Calibri" w:cs="Calibri"/>
          <w:b/>
          <w:sz w:val="26"/>
          <w:szCs w:val="26"/>
          <w:lang w:val="en-US"/>
        </w:rPr>
      </w:pPr>
      <w:bookmarkStart w:id="0" w:name="_GoBack"/>
      <w:bookmarkEnd w:id="0"/>
      <w:r w:rsidRPr="001A09CB">
        <w:rPr>
          <w:rFonts w:ascii="Calibri" w:hAnsi="Calibri" w:cs="Calibri"/>
          <w:b/>
          <w:sz w:val="26"/>
          <w:szCs w:val="26"/>
          <w:lang w:val="en-US"/>
        </w:rPr>
        <w:t>Supplement</w:t>
      </w:r>
    </w:p>
    <w:tbl>
      <w:tblPr>
        <w:tblStyle w:val="Tablanormal3"/>
        <w:tblW w:w="0" w:type="auto"/>
        <w:tblLook w:val="04A0" w:firstRow="1" w:lastRow="0" w:firstColumn="1" w:lastColumn="0" w:noHBand="0" w:noVBand="1"/>
      </w:tblPr>
      <w:tblGrid>
        <w:gridCol w:w="2303"/>
        <w:gridCol w:w="2303"/>
        <w:gridCol w:w="2303"/>
        <w:gridCol w:w="2303"/>
      </w:tblGrid>
      <w:tr w:rsidR="004C4D3B" w:rsidTr="004C4D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3" w:type="dxa"/>
          </w:tcPr>
          <w:p w:rsidR="004C4D3B" w:rsidRPr="004C4D3B" w:rsidRDefault="004C4D3B" w:rsidP="004C4D3B">
            <w:pPr>
              <w:pStyle w:val="NormalWeb"/>
              <w:spacing w:before="0" w:beforeAutospacing="0" w:after="0" w:afterAutospacing="0"/>
              <w:jc w:val="center"/>
              <w:rPr>
                <w:rFonts w:ascii="Arial" w:hAnsi="Arial" w:cs="Arial"/>
                <w:sz w:val="20"/>
                <w:szCs w:val="20"/>
              </w:rPr>
            </w:pPr>
            <w:r w:rsidRPr="004C4D3B">
              <w:rPr>
                <w:rFonts w:ascii="Calibri" w:hAnsi="Calibri" w:cs="Calibri"/>
                <w:color w:val="000000" w:themeColor="text1"/>
                <w:kern w:val="24"/>
                <w:sz w:val="20"/>
                <w:szCs w:val="20"/>
                <w:lang w:val="en-GB"/>
              </w:rPr>
              <w:t>Cell population</w:t>
            </w:r>
          </w:p>
        </w:tc>
        <w:tc>
          <w:tcPr>
            <w:tcW w:w="2303" w:type="dxa"/>
          </w:tcPr>
          <w:p w:rsidR="004C4D3B" w:rsidRPr="004C4D3B" w:rsidRDefault="004C4D3B" w:rsidP="004C4D3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C4D3B">
              <w:rPr>
                <w:rFonts w:ascii="Calibri" w:hAnsi="Calibri" w:cs="Calibri"/>
                <w:color w:val="000000" w:themeColor="text1"/>
                <w:kern w:val="24"/>
                <w:sz w:val="20"/>
                <w:szCs w:val="20"/>
                <w:lang w:val="en-GB"/>
              </w:rPr>
              <w:t xml:space="preserve">Healthy control </w:t>
            </w:r>
            <w:r w:rsidRPr="004C4D3B">
              <w:rPr>
                <w:rFonts w:asciiTheme="minorHAnsi" w:eastAsiaTheme="minorEastAsia" w:hAnsi="Calibri" w:cstheme="minorBidi"/>
                <w:color w:val="000000" w:themeColor="text1"/>
                <w:kern w:val="24"/>
                <w:sz w:val="20"/>
                <w:szCs w:val="20"/>
                <w:lang w:val="en-GB"/>
              </w:rPr>
              <w:t>[%]</w:t>
            </w:r>
          </w:p>
        </w:tc>
        <w:tc>
          <w:tcPr>
            <w:tcW w:w="2303" w:type="dxa"/>
          </w:tcPr>
          <w:p w:rsidR="004C4D3B" w:rsidRPr="004C4D3B" w:rsidRDefault="004C4D3B" w:rsidP="004C4D3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C4D3B">
              <w:rPr>
                <w:rFonts w:ascii="Calibri" w:hAnsi="Calibri" w:cs="Calibri"/>
                <w:color w:val="000000" w:themeColor="text1"/>
                <w:kern w:val="24"/>
                <w:sz w:val="20"/>
                <w:szCs w:val="20"/>
                <w:lang w:val="en-GB"/>
              </w:rPr>
              <w:t xml:space="preserve">Atopic dermatitis </w:t>
            </w:r>
            <w:r w:rsidRPr="004C4D3B">
              <w:rPr>
                <w:rFonts w:asciiTheme="minorHAnsi" w:eastAsiaTheme="minorEastAsia" w:hAnsi="Calibri" w:cstheme="minorBidi"/>
                <w:color w:val="000000" w:themeColor="text1"/>
                <w:kern w:val="24"/>
                <w:sz w:val="20"/>
                <w:szCs w:val="20"/>
                <w:lang w:val="en-GB"/>
              </w:rPr>
              <w:t>[%]</w:t>
            </w:r>
          </w:p>
        </w:tc>
        <w:tc>
          <w:tcPr>
            <w:tcW w:w="2303" w:type="dxa"/>
          </w:tcPr>
          <w:p w:rsidR="004C4D3B" w:rsidRDefault="004C4D3B" w:rsidP="004C4D3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color w:val="000000" w:themeColor="text1"/>
                <w:kern w:val="24"/>
                <w:sz w:val="20"/>
                <w:szCs w:val="20"/>
                <w:lang w:val="en-GB"/>
              </w:rPr>
            </w:pPr>
            <w:r w:rsidRPr="004C4D3B">
              <w:rPr>
                <w:rFonts w:ascii="Calibri" w:hAnsi="Calibri" w:cs="Calibri"/>
                <w:color w:val="000000" w:themeColor="text1"/>
                <w:kern w:val="24"/>
                <w:sz w:val="20"/>
                <w:szCs w:val="20"/>
                <w:lang w:val="en-GB"/>
              </w:rPr>
              <w:t>p = value</w:t>
            </w:r>
          </w:p>
          <w:p w:rsidR="004C4D3B" w:rsidRPr="004C4D3B" w:rsidRDefault="004C4D3B" w:rsidP="004C4D3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4C4D3B" w:rsidRPr="004C4D3B" w:rsidTr="006E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4C4D3B" w:rsidRPr="004C4D3B" w:rsidRDefault="004C4D3B" w:rsidP="004C4D3B">
            <w:pPr>
              <w:pStyle w:val="NormalWeb"/>
              <w:spacing w:before="0" w:beforeAutospacing="0" w:after="0" w:afterAutospacing="0"/>
              <w:jc w:val="center"/>
              <w:rPr>
                <w:rFonts w:ascii="Arial" w:hAnsi="Arial" w:cs="Arial"/>
                <w:sz w:val="20"/>
                <w:szCs w:val="20"/>
              </w:rPr>
            </w:pPr>
            <w:r w:rsidRPr="004C4D3B">
              <w:rPr>
                <w:rFonts w:ascii="Calibri" w:hAnsi="Calibri" w:cs="Calibri"/>
                <w:color w:val="000000" w:themeColor="text1"/>
                <w:kern w:val="24"/>
                <w:sz w:val="20"/>
                <w:szCs w:val="20"/>
                <w:lang w:val="en-GB"/>
              </w:rPr>
              <w:t>CD25</w:t>
            </w:r>
            <w:r w:rsidRPr="004C4D3B">
              <w:rPr>
                <w:rFonts w:ascii="Calibri" w:hAnsi="Calibri" w:cs="Calibri"/>
                <w:color w:val="000000" w:themeColor="text1"/>
                <w:kern w:val="24"/>
                <w:position w:val="7"/>
                <w:sz w:val="20"/>
                <w:szCs w:val="20"/>
                <w:vertAlign w:val="superscript"/>
                <w:lang w:val="en-GB"/>
              </w:rPr>
              <w:t>-</w:t>
            </w:r>
            <w:r w:rsidRPr="004C4D3B">
              <w:rPr>
                <w:rFonts w:ascii="Calibri" w:hAnsi="Calibri" w:cs="Calibri"/>
                <w:color w:val="000000" w:themeColor="text1"/>
                <w:kern w:val="24"/>
                <w:sz w:val="20"/>
                <w:szCs w:val="20"/>
                <w:lang w:val="en-GB"/>
              </w:rPr>
              <w:t>Foxp3</w:t>
            </w:r>
            <w:r w:rsidRPr="004C4D3B">
              <w:rPr>
                <w:rFonts w:ascii="Calibri" w:hAnsi="Calibri" w:cs="Calibri"/>
                <w:color w:val="000000" w:themeColor="text1"/>
                <w:kern w:val="24"/>
                <w:position w:val="7"/>
                <w:sz w:val="20"/>
                <w:szCs w:val="20"/>
                <w:vertAlign w:val="superscript"/>
                <w:lang w:val="en-GB"/>
              </w:rPr>
              <w:t>-</w:t>
            </w:r>
          </w:p>
        </w:tc>
        <w:tc>
          <w:tcPr>
            <w:tcW w:w="2303" w:type="dxa"/>
            <w:vAlign w:val="center"/>
          </w:tcPr>
          <w:p w:rsidR="004C4D3B" w:rsidRPr="004C4D3B" w:rsidRDefault="004C4D3B" w:rsidP="004C4D3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4D3B">
              <w:rPr>
                <w:rFonts w:ascii="Calibri" w:hAnsi="Calibri" w:cs="Calibri"/>
                <w:color w:val="000000" w:themeColor="text1"/>
                <w:kern w:val="24"/>
                <w:sz w:val="20"/>
                <w:szCs w:val="20"/>
                <w:lang w:val="en-GB"/>
              </w:rPr>
              <w:t xml:space="preserve">61.3 </w:t>
            </w:r>
            <w:r w:rsidRPr="004C4D3B">
              <w:rPr>
                <w:rFonts w:ascii="Calibri" w:hAnsi="Arial" w:cs="Arial"/>
                <w:color w:val="000000" w:themeColor="text1"/>
                <w:kern w:val="24"/>
                <w:sz w:val="20"/>
                <w:szCs w:val="20"/>
                <w:lang w:val="en-GB"/>
              </w:rPr>
              <w:t>±</w:t>
            </w:r>
            <w:r w:rsidRPr="004C4D3B">
              <w:rPr>
                <w:rFonts w:ascii="Calibri" w:hAnsi="Calibri" w:cs="Calibri"/>
                <w:color w:val="000000" w:themeColor="text1"/>
                <w:kern w:val="24"/>
                <w:sz w:val="20"/>
                <w:szCs w:val="20"/>
                <w:lang w:val="en-GB"/>
              </w:rPr>
              <w:t xml:space="preserve"> 5.0</w:t>
            </w:r>
          </w:p>
        </w:tc>
        <w:tc>
          <w:tcPr>
            <w:tcW w:w="2303" w:type="dxa"/>
            <w:vAlign w:val="center"/>
          </w:tcPr>
          <w:p w:rsidR="004C4D3B" w:rsidRPr="004C4D3B" w:rsidRDefault="004C4D3B" w:rsidP="004C4D3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4D3B">
              <w:rPr>
                <w:rFonts w:ascii="Calibri" w:hAnsi="Calibri" w:cs="Calibri"/>
                <w:color w:val="000000" w:themeColor="text1"/>
                <w:kern w:val="24"/>
                <w:sz w:val="20"/>
                <w:szCs w:val="20"/>
                <w:lang w:val="en-GB"/>
              </w:rPr>
              <w:t xml:space="preserve">70.7 </w:t>
            </w:r>
            <w:r w:rsidRPr="004C4D3B">
              <w:rPr>
                <w:rFonts w:ascii="Calibri" w:hAnsi="Arial" w:cs="Arial"/>
                <w:color w:val="000000" w:themeColor="text1"/>
                <w:kern w:val="24"/>
                <w:sz w:val="20"/>
                <w:szCs w:val="20"/>
                <w:lang w:val="en-GB"/>
              </w:rPr>
              <w:t>±</w:t>
            </w:r>
            <w:r w:rsidRPr="004C4D3B">
              <w:rPr>
                <w:rFonts w:ascii="Calibri" w:hAnsi="Arial" w:cs="Arial"/>
                <w:color w:val="000000" w:themeColor="text1"/>
                <w:kern w:val="24"/>
                <w:sz w:val="20"/>
                <w:szCs w:val="20"/>
                <w:lang w:val="en-GB"/>
              </w:rPr>
              <w:t xml:space="preserve"> </w:t>
            </w:r>
            <w:r w:rsidRPr="004C4D3B">
              <w:rPr>
                <w:rFonts w:ascii="Calibri" w:hAnsi="Calibri" w:cs="Calibri"/>
                <w:color w:val="000000" w:themeColor="text1"/>
                <w:kern w:val="24"/>
                <w:sz w:val="20"/>
                <w:szCs w:val="20"/>
                <w:lang w:val="en-GB"/>
              </w:rPr>
              <w:t>4.1</w:t>
            </w:r>
          </w:p>
        </w:tc>
        <w:tc>
          <w:tcPr>
            <w:tcW w:w="2303" w:type="dxa"/>
            <w:vAlign w:val="center"/>
          </w:tcPr>
          <w:p w:rsidR="004C4D3B" w:rsidRDefault="004C4D3B" w:rsidP="004C4D3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kern w:val="24"/>
                <w:sz w:val="20"/>
                <w:szCs w:val="20"/>
                <w:lang w:val="en-GB"/>
              </w:rPr>
            </w:pPr>
            <w:r w:rsidRPr="004C4D3B">
              <w:rPr>
                <w:rFonts w:ascii="Calibri" w:hAnsi="Calibri" w:cs="Calibri"/>
                <w:color w:val="000000" w:themeColor="text1"/>
                <w:kern w:val="24"/>
                <w:sz w:val="20"/>
                <w:szCs w:val="20"/>
                <w:lang w:val="en-GB"/>
              </w:rPr>
              <w:t>0.16</w:t>
            </w:r>
          </w:p>
          <w:p w:rsidR="004C4D3B" w:rsidRPr="004C4D3B" w:rsidRDefault="004C4D3B" w:rsidP="004C4D3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C4D3B" w:rsidRPr="004C4D3B" w:rsidTr="006E640C">
        <w:tc>
          <w:tcPr>
            <w:cnfStyle w:val="001000000000" w:firstRow="0" w:lastRow="0" w:firstColumn="1" w:lastColumn="0" w:oddVBand="0" w:evenVBand="0" w:oddHBand="0" w:evenHBand="0" w:firstRowFirstColumn="0" w:firstRowLastColumn="0" w:lastRowFirstColumn="0" w:lastRowLastColumn="0"/>
            <w:tcW w:w="2303" w:type="dxa"/>
            <w:vAlign w:val="center"/>
          </w:tcPr>
          <w:p w:rsidR="004C4D3B" w:rsidRPr="004C4D3B" w:rsidRDefault="004C4D3B" w:rsidP="004C4D3B">
            <w:pPr>
              <w:pStyle w:val="NormalWeb"/>
              <w:spacing w:before="0" w:beforeAutospacing="0" w:after="0" w:afterAutospacing="0"/>
              <w:jc w:val="center"/>
              <w:rPr>
                <w:rFonts w:ascii="Arial" w:hAnsi="Arial" w:cs="Arial"/>
                <w:sz w:val="20"/>
                <w:szCs w:val="20"/>
              </w:rPr>
            </w:pPr>
            <w:r w:rsidRPr="004C4D3B">
              <w:rPr>
                <w:rFonts w:ascii="Calibri" w:hAnsi="Calibri" w:cs="Calibri"/>
                <w:color w:val="000000" w:themeColor="text1"/>
                <w:kern w:val="24"/>
                <w:sz w:val="20"/>
                <w:szCs w:val="20"/>
                <w:lang w:val="en-GB"/>
              </w:rPr>
              <w:t>CD25</w:t>
            </w:r>
            <w:r w:rsidRPr="004C4D3B">
              <w:rPr>
                <w:rFonts w:ascii="Calibri" w:hAnsi="Calibri" w:cs="Calibri"/>
                <w:color w:val="000000" w:themeColor="text1"/>
                <w:kern w:val="24"/>
                <w:position w:val="7"/>
                <w:sz w:val="20"/>
                <w:szCs w:val="20"/>
                <w:vertAlign w:val="superscript"/>
                <w:lang w:val="en-GB"/>
              </w:rPr>
              <w:t>+</w:t>
            </w:r>
            <w:r w:rsidRPr="004C4D3B">
              <w:rPr>
                <w:rFonts w:ascii="Calibri" w:hAnsi="Calibri" w:cs="Calibri"/>
                <w:color w:val="000000" w:themeColor="text1"/>
                <w:kern w:val="24"/>
                <w:sz w:val="20"/>
                <w:szCs w:val="20"/>
                <w:lang w:val="en-GB"/>
              </w:rPr>
              <w:t>Foxp3</w:t>
            </w:r>
            <w:r w:rsidRPr="004C4D3B">
              <w:rPr>
                <w:rFonts w:ascii="Calibri" w:hAnsi="Calibri" w:cs="Calibri"/>
                <w:color w:val="000000" w:themeColor="text1"/>
                <w:kern w:val="24"/>
                <w:position w:val="7"/>
                <w:sz w:val="20"/>
                <w:szCs w:val="20"/>
                <w:vertAlign w:val="superscript"/>
                <w:lang w:val="en-GB"/>
              </w:rPr>
              <w:t>-</w:t>
            </w:r>
          </w:p>
        </w:tc>
        <w:tc>
          <w:tcPr>
            <w:tcW w:w="2303" w:type="dxa"/>
            <w:vAlign w:val="center"/>
          </w:tcPr>
          <w:p w:rsidR="004C4D3B" w:rsidRPr="004C4D3B" w:rsidRDefault="004C4D3B" w:rsidP="004C4D3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4D3B">
              <w:rPr>
                <w:rFonts w:ascii="Calibri" w:hAnsi="Calibri" w:cs="Calibri"/>
                <w:color w:val="000000" w:themeColor="text1"/>
                <w:kern w:val="24"/>
                <w:sz w:val="20"/>
                <w:szCs w:val="20"/>
                <w:lang w:val="en-GB"/>
              </w:rPr>
              <w:t xml:space="preserve">17.7 </w:t>
            </w:r>
            <w:r w:rsidRPr="004C4D3B">
              <w:rPr>
                <w:rFonts w:ascii="Calibri" w:hAnsi="Arial" w:cs="Arial"/>
                <w:color w:val="000000" w:themeColor="text1"/>
                <w:kern w:val="24"/>
                <w:sz w:val="20"/>
                <w:szCs w:val="20"/>
                <w:lang w:val="en-GB"/>
              </w:rPr>
              <w:t>±</w:t>
            </w:r>
            <w:r w:rsidRPr="004C4D3B">
              <w:rPr>
                <w:rFonts w:ascii="Calibri" w:hAnsi="Arial" w:cs="Arial"/>
                <w:color w:val="000000" w:themeColor="text1"/>
                <w:kern w:val="24"/>
                <w:sz w:val="20"/>
                <w:szCs w:val="20"/>
                <w:lang w:val="en-GB"/>
              </w:rPr>
              <w:t xml:space="preserve"> </w:t>
            </w:r>
            <w:r w:rsidRPr="004C4D3B">
              <w:rPr>
                <w:rFonts w:ascii="Calibri" w:hAnsi="Calibri" w:cs="Calibri"/>
                <w:color w:val="000000" w:themeColor="text1"/>
                <w:kern w:val="24"/>
                <w:sz w:val="20"/>
                <w:szCs w:val="20"/>
                <w:lang w:val="en-GB"/>
              </w:rPr>
              <w:t>3.6</w:t>
            </w:r>
          </w:p>
        </w:tc>
        <w:tc>
          <w:tcPr>
            <w:tcW w:w="2303" w:type="dxa"/>
            <w:vAlign w:val="center"/>
          </w:tcPr>
          <w:p w:rsidR="004C4D3B" w:rsidRPr="004C4D3B" w:rsidRDefault="004C4D3B" w:rsidP="004C4D3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4D3B">
              <w:rPr>
                <w:rFonts w:ascii="Calibri" w:hAnsi="Calibri" w:cs="Calibri"/>
                <w:color w:val="000000" w:themeColor="text1"/>
                <w:kern w:val="24"/>
                <w:sz w:val="20"/>
                <w:szCs w:val="20"/>
                <w:lang w:val="en-GB"/>
              </w:rPr>
              <w:t xml:space="preserve">17.7 </w:t>
            </w:r>
            <w:r w:rsidRPr="004C4D3B">
              <w:rPr>
                <w:rFonts w:ascii="Calibri" w:hAnsi="Arial" w:cs="Arial"/>
                <w:color w:val="000000" w:themeColor="text1"/>
                <w:kern w:val="24"/>
                <w:sz w:val="20"/>
                <w:szCs w:val="20"/>
                <w:lang w:val="en-GB"/>
              </w:rPr>
              <w:t>±</w:t>
            </w:r>
            <w:r w:rsidRPr="004C4D3B">
              <w:rPr>
                <w:rFonts w:ascii="Calibri" w:hAnsi="Arial" w:cs="Arial"/>
                <w:color w:val="000000" w:themeColor="text1"/>
                <w:kern w:val="24"/>
                <w:sz w:val="20"/>
                <w:szCs w:val="20"/>
                <w:lang w:val="en-GB"/>
              </w:rPr>
              <w:t xml:space="preserve"> </w:t>
            </w:r>
            <w:r w:rsidRPr="004C4D3B">
              <w:rPr>
                <w:rFonts w:ascii="Calibri" w:hAnsi="Calibri" w:cs="Calibri"/>
                <w:color w:val="000000" w:themeColor="text1"/>
                <w:kern w:val="24"/>
                <w:sz w:val="20"/>
                <w:szCs w:val="20"/>
                <w:lang w:val="en-GB"/>
              </w:rPr>
              <w:t>3.4</w:t>
            </w:r>
          </w:p>
        </w:tc>
        <w:tc>
          <w:tcPr>
            <w:tcW w:w="2303" w:type="dxa"/>
            <w:vAlign w:val="center"/>
          </w:tcPr>
          <w:p w:rsidR="004C4D3B" w:rsidRDefault="004C4D3B" w:rsidP="004C4D3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kern w:val="24"/>
                <w:sz w:val="20"/>
                <w:szCs w:val="20"/>
                <w:lang w:val="en-GB"/>
              </w:rPr>
            </w:pPr>
            <w:r w:rsidRPr="004C4D3B">
              <w:rPr>
                <w:rFonts w:ascii="Calibri" w:hAnsi="Calibri" w:cs="Calibri"/>
                <w:color w:val="000000" w:themeColor="text1"/>
                <w:kern w:val="24"/>
                <w:sz w:val="20"/>
                <w:szCs w:val="20"/>
                <w:lang w:val="en-GB"/>
              </w:rPr>
              <w:t>0.91</w:t>
            </w:r>
          </w:p>
          <w:p w:rsidR="004C4D3B" w:rsidRPr="004C4D3B" w:rsidRDefault="004C4D3B" w:rsidP="004C4D3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C4D3B" w:rsidRPr="004C4D3B" w:rsidTr="006E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4C4D3B" w:rsidRPr="004C4D3B" w:rsidRDefault="004C4D3B" w:rsidP="004C4D3B">
            <w:pPr>
              <w:pStyle w:val="NormalWeb"/>
              <w:spacing w:before="0" w:beforeAutospacing="0" w:after="0" w:afterAutospacing="0"/>
              <w:jc w:val="center"/>
              <w:rPr>
                <w:rFonts w:ascii="Arial" w:hAnsi="Arial" w:cs="Arial"/>
                <w:sz w:val="20"/>
                <w:szCs w:val="20"/>
              </w:rPr>
            </w:pPr>
            <w:r w:rsidRPr="004C4D3B">
              <w:rPr>
                <w:rFonts w:ascii="Calibri" w:hAnsi="Calibri" w:cs="Calibri"/>
                <w:color w:val="000000" w:themeColor="text1"/>
                <w:kern w:val="24"/>
                <w:sz w:val="20"/>
                <w:szCs w:val="20"/>
                <w:lang w:val="en-GB"/>
              </w:rPr>
              <w:t>CD25</w:t>
            </w:r>
            <w:r w:rsidRPr="004C4D3B">
              <w:rPr>
                <w:rFonts w:ascii="Calibri" w:hAnsi="Calibri" w:cs="Calibri"/>
                <w:color w:val="000000" w:themeColor="text1"/>
                <w:kern w:val="24"/>
                <w:position w:val="7"/>
                <w:sz w:val="20"/>
                <w:szCs w:val="20"/>
                <w:vertAlign w:val="superscript"/>
                <w:lang w:val="en-GB"/>
              </w:rPr>
              <w:t>+</w:t>
            </w:r>
            <w:r w:rsidRPr="004C4D3B">
              <w:rPr>
                <w:rFonts w:ascii="Calibri" w:hAnsi="Calibri" w:cs="Calibri"/>
                <w:color w:val="000000" w:themeColor="text1"/>
                <w:kern w:val="24"/>
                <w:sz w:val="20"/>
                <w:szCs w:val="20"/>
                <w:lang w:val="en-GB"/>
              </w:rPr>
              <w:t>Foxp3</w:t>
            </w:r>
            <w:r w:rsidRPr="004C4D3B">
              <w:rPr>
                <w:rFonts w:ascii="Calibri" w:hAnsi="Calibri" w:cs="Calibri"/>
                <w:color w:val="000000" w:themeColor="text1"/>
                <w:kern w:val="24"/>
                <w:position w:val="7"/>
                <w:sz w:val="20"/>
                <w:szCs w:val="20"/>
                <w:vertAlign w:val="superscript"/>
                <w:lang w:val="en-GB"/>
              </w:rPr>
              <w:t>+</w:t>
            </w:r>
          </w:p>
        </w:tc>
        <w:tc>
          <w:tcPr>
            <w:tcW w:w="2303" w:type="dxa"/>
            <w:vAlign w:val="center"/>
          </w:tcPr>
          <w:p w:rsidR="004C4D3B" w:rsidRPr="004C4D3B" w:rsidRDefault="004C4D3B" w:rsidP="004C4D3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4D3B">
              <w:rPr>
                <w:rFonts w:ascii="Calibri" w:hAnsi="Calibri" w:cs="Calibri"/>
                <w:color w:val="000000" w:themeColor="text1"/>
                <w:kern w:val="24"/>
                <w:sz w:val="20"/>
                <w:szCs w:val="20"/>
                <w:lang w:val="en-GB"/>
              </w:rPr>
              <w:t xml:space="preserve">14.6 </w:t>
            </w:r>
            <w:r w:rsidRPr="004C4D3B">
              <w:rPr>
                <w:rFonts w:ascii="Calibri" w:hAnsi="Arial" w:cs="Arial"/>
                <w:color w:val="000000" w:themeColor="text1"/>
                <w:kern w:val="24"/>
                <w:sz w:val="20"/>
                <w:szCs w:val="20"/>
                <w:lang w:val="en-GB"/>
              </w:rPr>
              <w:t>±</w:t>
            </w:r>
            <w:r w:rsidRPr="004C4D3B">
              <w:rPr>
                <w:rFonts w:ascii="Calibri" w:hAnsi="Arial" w:cs="Arial"/>
                <w:color w:val="000000" w:themeColor="text1"/>
                <w:kern w:val="24"/>
                <w:sz w:val="20"/>
                <w:szCs w:val="20"/>
                <w:lang w:val="en-GB"/>
              </w:rPr>
              <w:t xml:space="preserve"> </w:t>
            </w:r>
            <w:r w:rsidRPr="004C4D3B">
              <w:rPr>
                <w:rFonts w:ascii="Calibri" w:hAnsi="Calibri" w:cs="Calibri"/>
                <w:color w:val="000000" w:themeColor="text1"/>
                <w:kern w:val="24"/>
                <w:sz w:val="20"/>
                <w:szCs w:val="20"/>
                <w:lang w:val="en-GB"/>
              </w:rPr>
              <w:t>2.0</w:t>
            </w:r>
          </w:p>
        </w:tc>
        <w:tc>
          <w:tcPr>
            <w:tcW w:w="2303" w:type="dxa"/>
            <w:vAlign w:val="center"/>
          </w:tcPr>
          <w:p w:rsidR="004C4D3B" w:rsidRPr="004C4D3B" w:rsidRDefault="004C4D3B" w:rsidP="004C4D3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4D3B">
              <w:rPr>
                <w:rFonts w:ascii="Calibri" w:hAnsi="Calibri" w:cs="Calibri"/>
                <w:color w:val="000000" w:themeColor="text1"/>
                <w:kern w:val="24"/>
                <w:sz w:val="20"/>
                <w:szCs w:val="20"/>
                <w:lang w:val="en-GB"/>
              </w:rPr>
              <w:t xml:space="preserve">8.5 </w:t>
            </w:r>
            <w:r w:rsidRPr="004C4D3B">
              <w:rPr>
                <w:rFonts w:ascii="Calibri" w:hAnsi="Arial" w:cs="Arial"/>
                <w:color w:val="000000" w:themeColor="text1"/>
                <w:kern w:val="24"/>
                <w:sz w:val="20"/>
                <w:szCs w:val="20"/>
                <w:lang w:val="en-GB"/>
              </w:rPr>
              <w:t>±</w:t>
            </w:r>
            <w:r w:rsidRPr="004C4D3B">
              <w:rPr>
                <w:rFonts w:ascii="Calibri" w:hAnsi="Arial" w:cs="Arial"/>
                <w:color w:val="000000" w:themeColor="text1"/>
                <w:kern w:val="24"/>
                <w:sz w:val="20"/>
                <w:szCs w:val="20"/>
                <w:lang w:val="en-GB"/>
              </w:rPr>
              <w:t xml:space="preserve"> </w:t>
            </w:r>
            <w:r w:rsidRPr="004C4D3B">
              <w:rPr>
                <w:rFonts w:ascii="Calibri" w:hAnsi="Calibri" w:cs="Calibri"/>
                <w:color w:val="000000" w:themeColor="text1"/>
                <w:kern w:val="24"/>
                <w:sz w:val="20"/>
                <w:szCs w:val="20"/>
                <w:lang w:val="en-GB"/>
              </w:rPr>
              <w:t>1.7</w:t>
            </w:r>
          </w:p>
        </w:tc>
        <w:tc>
          <w:tcPr>
            <w:tcW w:w="2303" w:type="dxa"/>
            <w:vAlign w:val="center"/>
          </w:tcPr>
          <w:p w:rsidR="004C4D3B" w:rsidRDefault="004C4D3B" w:rsidP="004C4D3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kern w:val="24"/>
                <w:sz w:val="20"/>
                <w:szCs w:val="20"/>
                <w:lang w:val="en-GB"/>
              </w:rPr>
            </w:pPr>
            <w:r w:rsidRPr="004C4D3B">
              <w:rPr>
                <w:rFonts w:ascii="Calibri" w:hAnsi="Calibri" w:cs="Calibri"/>
                <w:color w:val="000000" w:themeColor="text1"/>
                <w:kern w:val="24"/>
                <w:sz w:val="20"/>
                <w:szCs w:val="20"/>
                <w:lang w:val="en-GB"/>
              </w:rPr>
              <w:t>0.03</w:t>
            </w:r>
          </w:p>
          <w:p w:rsidR="004C4D3B" w:rsidRPr="004C4D3B" w:rsidRDefault="004C4D3B" w:rsidP="004C4D3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023F1F" w:rsidRDefault="00023F1F" w:rsidP="006C3480">
      <w:pPr>
        <w:spacing w:line="480" w:lineRule="auto"/>
        <w:jc w:val="both"/>
        <w:outlineLvl w:val="0"/>
        <w:rPr>
          <w:rFonts w:cs="Times New Roman"/>
          <w:lang w:val="en-US"/>
        </w:rPr>
      </w:pPr>
    </w:p>
    <w:p w:rsidR="00A67481" w:rsidRDefault="00023F1F" w:rsidP="006C3480">
      <w:pPr>
        <w:spacing w:line="480" w:lineRule="auto"/>
        <w:jc w:val="both"/>
        <w:outlineLvl w:val="0"/>
        <w:rPr>
          <w:rFonts w:cs="Times New Roman"/>
          <w:lang w:val="en-US"/>
        </w:rPr>
      </w:pPr>
      <w:r>
        <w:rPr>
          <w:rFonts w:cs="Times New Roman"/>
          <w:lang w:val="en-US"/>
        </w:rPr>
        <w:t xml:space="preserve">Frequency of </w:t>
      </w:r>
      <w:r w:rsidRPr="005A6EA8">
        <w:rPr>
          <w:rFonts w:cs="Times New Roman"/>
          <w:lang w:val="en-US"/>
        </w:rPr>
        <w:t>CD25</w:t>
      </w:r>
      <w:r w:rsidRPr="005A6EA8">
        <w:rPr>
          <w:rFonts w:cs="Times New Roman"/>
          <w:vertAlign w:val="superscript"/>
          <w:lang w:val="en-US"/>
        </w:rPr>
        <w:t>-</w:t>
      </w:r>
      <w:r w:rsidRPr="005A6EA8">
        <w:rPr>
          <w:rFonts w:cs="Times New Roman"/>
          <w:lang w:val="en-US"/>
        </w:rPr>
        <w:t>Foxp3</w:t>
      </w:r>
      <w:r w:rsidRPr="005A6EA8">
        <w:rPr>
          <w:rFonts w:cs="Times New Roman"/>
          <w:vertAlign w:val="superscript"/>
          <w:lang w:val="en-US"/>
        </w:rPr>
        <w:t>-</w:t>
      </w:r>
      <w:r w:rsidRPr="005A6EA8">
        <w:rPr>
          <w:rFonts w:cs="Times New Roman"/>
          <w:lang w:val="en-US"/>
        </w:rPr>
        <w:t>, CD25</w:t>
      </w:r>
      <w:r w:rsidRPr="005A6EA8">
        <w:rPr>
          <w:rFonts w:cs="Times New Roman"/>
          <w:vertAlign w:val="superscript"/>
          <w:lang w:val="en-US"/>
        </w:rPr>
        <w:t>+</w:t>
      </w:r>
      <w:r w:rsidRPr="005A6EA8">
        <w:rPr>
          <w:rFonts w:cs="Times New Roman"/>
          <w:lang w:val="en-US"/>
        </w:rPr>
        <w:t>Foxp3</w:t>
      </w:r>
      <w:r w:rsidRPr="005A6EA8">
        <w:rPr>
          <w:rFonts w:cs="Times New Roman"/>
          <w:vertAlign w:val="superscript"/>
          <w:lang w:val="en-US"/>
        </w:rPr>
        <w:t>-</w:t>
      </w:r>
      <w:r w:rsidRPr="005A6EA8">
        <w:rPr>
          <w:rFonts w:cs="Times New Roman"/>
          <w:lang w:val="en-US"/>
        </w:rPr>
        <w:t xml:space="preserve"> and CD25</w:t>
      </w:r>
      <w:r w:rsidRPr="005A6EA8">
        <w:rPr>
          <w:rFonts w:cs="Times New Roman"/>
          <w:vertAlign w:val="superscript"/>
          <w:lang w:val="en-US"/>
        </w:rPr>
        <w:t>+</w:t>
      </w:r>
      <w:r w:rsidRPr="005A6EA8">
        <w:rPr>
          <w:rFonts w:cs="Times New Roman"/>
          <w:lang w:val="en-US"/>
        </w:rPr>
        <w:t>Foxp3</w:t>
      </w:r>
      <w:r w:rsidRPr="005A6EA8">
        <w:rPr>
          <w:rFonts w:cs="Times New Roman"/>
          <w:vertAlign w:val="superscript"/>
          <w:lang w:val="en-US"/>
        </w:rPr>
        <w:t>+</w:t>
      </w:r>
      <w:r w:rsidRPr="005A6EA8">
        <w:rPr>
          <w:rFonts w:cs="Times New Roman"/>
          <w:lang w:val="en-US"/>
        </w:rPr>
        <w:t xml:space="preserve"> </w:t>
      </w:r>
      <w:r>
        <w:rPr>
          <w:rFonts w:cs="Times New Roman"/>
          <w:lang w:val="en-US"/>
        </w:rPr>
        <w:t xml:space="preserve">cell subsets </w:t>
      </w:r>
      <w:r w:rsidRPr="005A6EA8">
        <w:rPr>
          <w:rFonts w:cs="Times New Roman"/>
          <w:lang w:val="en-US"/>
        </w:rPr>
        <w:t>after 3 d</w:t>
      </w:r>
      <w:r>
        <w:rPr>
          <w:rFonts w:cs="Times New Roman"/>
          <w:lang w:val="en-US"/>
        </w:rPr>
        <w:t xml:space="preserve">ays of culture is shown </w:t>
      </w:r>
      <w:r w:rsidRPr="00403938">
        <w:rPr>
          <w:rFonts w:cs="Times New Roman"/>
          <w:lang w:val="en-US"/>
        </w:rPr>
        <w:t>(n = 12/10</w:t>
      </w:r>
      <w:r>
        <w:rPr>
          <w:rFonts w:cs="Times New Roman"/>
          <w:lang w:val="en-US"/>
        </w:rPr>
        <w:t xml:space="preserve"> (AD/CTR))</w:t>
      </w:r>
      <w:r w:rsidRPr="005A6EA8">
        <w:rPr>
          <w:rFonts w:cs="Times New Roman"/>
          <w:lang w:val="en-US"/>
        </w:rPr>
        <w:t>.</w:t>
      </w:r>
    </w:p>
    <w:p w:rsidR="00A67481" w:rsidRDefault="00A67481" w:rsidP="006C3480">
      <w:pPr>
        <w:spacing w:line="480" w:lineRule="auto"/>
        <w:jc w:val="both"/>
        <w:outlineLvl w:val="0"/>
        <w:rPr>
          <w:rFonts w:cs="Times New Roman"/>
          <w:lang w:val="en-US"/>
        </w:rPr>
      </w:pPr>
    </w:p>
    <w:p w:rsidR="00A67481" w:rsidRPr="001A09CB" w:rsidRDefault="00A67481" w:rsidP="00A67481">
      <w:pPr>
        <w:spacing w:line="480" w:lineRule="auto"/>
        <w:jc w:val="center"/>
        <w:outlineLvl w:val="0"/>
        <w:rPr>
          <w:rFonts w:ascii="Calibri" w:hAnsi="Calibri" w:cs="Calibri"/>
          <w:b/>
          <w:lang w:val="en-US"/>
        </w:rPr>
      </w:pPr>
      <w:r w:rsidRPr="001A09CB">
        <w:rPr>
          <w:rFonts w:ascii="Calibri" w:hAnsi="Calibri" w:cs="Calibri"/>
          <w:b/>
          <w:noProof/>
        </w:rPr>
        <w:drawing>
          <wp:inline distT="0" distB="0" distL="0" distR="0" wp14:anchorId="6C35A9C6" wp14:editId="61BEF050">
            <wp:extent cx="3399503" cy="1709122"/>
            <wp:effectExtent l="0" t="0" r="0" b="0"/>
            <wp:docPr id="2" name="Imagen 3">
              <a:extLst xmlns:a="http://schemas.openxmlformats.org/drawingml/2006/main">
                <a:ext uri="{FF2B5EF4-FFF2-40B4-BE49-F238E27FC236}">
                  <a16:creationId xmlns:a16="http://schemas.microsoft.com/office/drawing/2014/main" id="{EDF0DC7A-9B0C-A445-BA15-09FDE5B6D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DF0DC7A-9B0C-A445-BA15-09FDE5B6DCD4}"/>
                        </a:ext>
                      </a:extLst>
                    </pic:cNvPr>
                    <pic:cNvPicPr>
                      <a:picLocks noChangeAspect="1"/>
                    </pic:cNvPicPr>
                  </pic:nvPicPr>
                  <pic:blipFill>
                    <a:blip r:embed="rId7"/>
                    <a:stretch>
                      <a:fillRect/>
                    </a:stretch>
                  </pic:blipFill>
                  <pic:spPr>
                    <a:xfrm>
                      <a:off x="0" y="0"/>
                      <a:ext cx="3420537" cy="1719697"/>
                    </a:xfrm>
                    <a:prstGeom prst="rect">
                      <a:avLst/>
                    </a:prstGeom>
                  </pic:spPr>
                </pic:pic>
              </a:graphicData>
            </a:graphic>
          </wp:inline>
        </w:drawing>
      </w:r>
    </w:p>
    <w:p w:rsidR="00A67481" w:rsidRPr="001A09CB" w:rsidRDefault="00A67481" w:rsidP="00A67481">
      <w:pPr>
        <w:spacing w:line="480" w:lineRule="auto"/>
        <w:jc w:val="both"/>
        <w:outlineLvl w:val="0"/>
        <w:rPr>
          <w:rFonts w:ascii="Calibri" w:hAnsi="Calibri" w:cs="Calibri"/>
          <w:b/>
          <w:sz w:val="24"/>
          <w:szCs w:val="24"/>
          <w:lang w:val="en-US"/>
        </w:rPr>
      </w:pPr>
      <w:r w:rsidRPr="001A09CB">
        <w:rPr>
          <w:rFonts w:ascii="Calibri" w:hAnsi="Calibri" w:cs="Calibri"/>
          <w:b/>
          <w:sz w:val="24"/>
          <w:szCs w:val="24"/>
          <w:lang w:val="en-US"/>
        </w:rPr>
        <w:t>RNA expression of Foxp3 and GARP of CD4</w:t>
      </w:r>
      <w:r w:rsidRPr="001A09CB">
        <w:rPr>
          <w:rFonts w:ascii="Calibri" w:hAnsi="Calibri" w:cs="Calibri"/>
          <w:b/>
          <w:sz w:val="24"/>
          <w:szCs w:val="24"/>
          <w:vertAlign w:val="superscript"/>
          <w:lang w:val="en-US"/>
        </w:rPr>
        <w:t>+</w:t>
      </w:r>
      <w:r w:rsidRPr="001A09CB">
        <w:rPr>
          <w:rFonts w:ascii="Calibri" w:hAnsi="Calibri" w:cs="Calibri"/>
          <w:b/>
          <w:sz w:val="24"/>
          <w:szCs w:val="24"/>
          <w:lang w:val="en-US"/>
        </w:rPr>
        <w:t>CD25</w:t>
      </w:r>
      <w:r w:rsidRPr="001A09CB">
        <w:rPr>
          <w:rFonts w:ascii="Calibri" w:hAnsi="Calibri" w:cs="Calibri"/>
          <w:b/>
          <w:sz w:val="24"/>
          <w:szCs w:val="24"/>
          <w:vertAlign w:val="superscript"/>
          <w:lang w:val="en-US"/>
        </w:rPr>
        <w:t>+</w:t>
      </w:r>
      <w:r w:rsidRPr="001A09CB">
        <w:rPr>
          <w:rFonts w:ascii="Calibri" w:hAnsi="Calibri" w:cs="Calibri"/>
          <w:b/>
          <w:sz w:val="24"/>
          <w:szCs w:val="24"/>
          <w:lang w:val="en-US"/>
        </w:rPr>
        <w:t xml:space="preserve"> T cells isolated from peripheral blood of AD patients and healthy donors.</w:t>
      </w:r>
    </w:p>
    <w:p w:rsidR="00A67481" w:rsidRPr="001A09CB" w:rsidRDefault="00A67481" w:rsidP="00A67481">
      <w:pPr>
        <w:spacing w:line="480" w:lineRule="auto"/>
        <w:jc w:val="both"/>
        <w:outlineLvl w:val="0"/>
        <w:rPr>
          <w:rFonts w:ascii="Calibri" w:hAnsi="Calibri" w:cs="Calibri"/>
          <w:lang w:val="en-US"/>
        </w:rPr>
      </w:pPr>
      <w:r w:rsidRPr="001A09CB">
        <w:rPr>
          <w:rFonts w:ascii="Calibri" w:hAnsi="Calibri" w:cs="Calibri"/>
          <w:lang w:val="en-US"/>
        </w:rPr>
        <w:t>RNA expression of Foxp3 and GARP of AD patients and healthy controls was measured by RT-PCR after isolation of 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xml:space="preserve"> T cells from PBMC. A: RNA expression of Foxp3 (AD: n= 10; CTR: n = 9). B: RNA expression of GARP (AD: n = 12; CTR: n = 9). Data are shown as mean ± SEM. Statistical significance was determined by t-test.</w:t>
      </w:r>
    </w:p>
    <w:p w:rsidR="00A67481" w:rsidRDefault="00A67481" w:rsidP="006C3480">
      <w:pPr>
        <w:spacing w:line="480" w:lineRule="auto"/>
        <w:jc w:val="both"/>
        <w:outlineLvl w:val="0"/>
        <w:rPr>
          <w:rFonts w:cs="Times New Roman"/>
          <w:lang w:val="en-US"/>
        </w:rPr>
      </w:pPr>
    </w:p>
    <w:p w:rsidR="00023F1F" w:rsidRDefault="00023F1F" w:rsidP="006C3480">
      <w:pPr>
        <w:spacing w:line="480" w:lineRule="auto"/>
        <w:jc w:val="both"/>
        <w:outlineLvl w:val="0"/>
        <w:rPr>
          <w:rFonts w:cs="Times New Roman"/>
          <w:lang w:val="en-US"/>
        </w:rPr>
      </w:pPr>
    </w:p>
    <w:p w:rsidR="00023F1F" w:rsidRDefault="00023F1F" w:rsidP="006C3480">
      <w:pPr>
        <w:spacing w:line="480" w:lineRule="auto"/>
        <w:jc w:val="both"/>
        <w:outlineLvl w:val="0"/>
        <w:rPr>
          <w:rFonts w:cs="Times New Roman"/>
          <w:lang w:val="en-US"/>
        </w:rPr>
      </w:pPr>
    </w:p>
    <w:p w:rsidR="006C3480" w:rsidRPr="001A09CB" w:rsidRDefault="006C3480" w:rsidP="006C3480">
      <w:pPr>
        <w:spacing w:line="480" w:lineRule="auto"/>
        <w:jc w:val="both"/>
        <w:outlineLvl w:val="0"/>
        <w:rPr>
          <w:rFonts w:ascii="Calibri" w:hAnsi="Calibri" w:cs="Calibri"/>
          <w:b/>
          <w:highlight w:val="yellow"/>
          <w:lang w:val="en-US"/>
        </w:rPr>
      </w:pPr>
      <w:r w:rsidRPr="001A09CB">
        <w:rPr>
          <w:rFonts w:ascii="Calibri" w:hAnsi="Calibri" w:cs="Calibri"/>
          <w:b/>
          <w:noProof/>
        </w:rPr>
        <w:lastRenderedPageBreak/>
        <w:drawing>
          <wp:inline distT="0" distB="0" distL="0" distR="0">
            <wp:extent cx="5759450" cy="3804920"/>
            <wp:effectExtent l="0" t="0" r="0" b="0"/>
            <wp:docPr id="1" name="Bild 1"/>
            <wp:cNvGraphicFramePr/>
            <a:graphic xmlns:a="http://schemas.openxmlformats.org/drawingml/2006/main">
              <a:graphicData uri="http://schemas.openxmlformats.org/drawingml/2006/picture">
                <pic:pic xmlns:pic="http://schemas.openxmlformats.org/drawingml/2006/picture">
                  <pic:nvPicPr>
                    <pic:cNvPr id="5" name="Grafik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04920"/>
                    </a:xfrm>
                    <a:prstGeom prst="rect">
                      <a:avLst/>
                    </a:prstGeom>
                  </pic:spPr>
                </pic:pic>
              </a:graphicData>
            </a:graphic>
          </wp:inline>
        </w:drawing>
      </w:r>
    </w:p>
    <w:p w:rsidR="006C3480" w:rsidRPr="001A09CB" w:rsidRDefault="006C3480" w:rsidP="006C3480">
      <w:pPr>
        <w:spacing w:line="480" w:lineRule="auto"/>
        <w:jc w:val="both"/>
        <w:outlineLvl w:val="0"/>
        <w:rPr>
          <w:rFonts w:ascii="Calibri" w:hAnsi="Calibri" w:cs="Calibri"/>
          <w:b/>
          <w:sz w:val="24"/>
          <w:szCs w:val="24"/>
          <w:lang w:val="en-US"/>
        </w:rPr>
      </w:pPr>
      <w:r w:rsidRPr="001A09CB">
        <w:rPr>
          <w:rFonts w:ascii="Calibri" w:hAnsi="Calibri" w:cs="Calibri"/>
          <w:b/>
          <w:sz w:val="24"/>
          <w:szCs w:val="24"/>
          <w:lang w:val="en-US"/>
        </w:rPr>
        <w:t>Functionality of iTregs derived from AD is not reduced</w:t>
      </w:r>
    </w:p>
    <w:p w:rsidR="006C3480" w:rsidRPr="001A09CB" w:rsidRDefault="006C3480" w:rsidP="006C3480">
      <w:pPr>
        <w:spacing w:line="480" w:lineRule="auto"/>
        <w:jc w:val="both"/>
        <w:outlineLvl w:val="0"/>
        <w:rPr>
          <w:rFonts w:ascii="Calibri" w:hAnsi="Calibri" w:cs="Calibri"/>
          <w:lang w:val="en-US"/>
        </w:rPr>
      </w:pPr>
      <w:r w:rsidRPr="001A09CB">
        <w:rPr>
          <w:rFonts w:ascii="Calibri" w:hAnsi="Calibri" w:cs="Calibri"/>
          <w:lang w:val="en-US"/>
        </w:rPr>
        <w:t>Peripheral 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xml:space="preserve"> T cells were cultured on CD3-coated plates in the presence of IL-2 and TGF-β. Induced CD25</w:t>
      </w:r>
      <w:r w:rsidRPr="001A09CB">
        <w:rPr>
          <w:rFonts w:ascii="Calibri" w:hAnsi="Calibri" w:cs="Calibri"/>
          <w:vertAlign w:val="superscript"/>
          <w:lang w:val="en-US"/>
        </w:rPr>
        <w:t>+</w:t>
      </w:r>
      <w:r w:rsidRPr="001A09CB">
        <w:rPr>
          <w:rFonts w:ascii="Calibri" w:hAnsi="Calibri" w:cs="Calibri"/>
          <w:lang w:val="en-US"/>
        </w:rPr>
        <w:t xml:space="preserve"> cells were purified with anti-CD25-coated beads on day 3 and co-cultured for 3 days with autologous CFSE stained CD25</w:t>
      </w:r>
      <w:r w:rsidRPr="001A09CB">
        <w:rPr>
          <w:rFonts w:ascii="Calibri" w:hAnsi="Calibri" w:cs="Calibri"/>
          <w:vertAlign w:val="superscript"/>
          <w:lang w:val="en-US"/>
        </w:rPr>
        <w:t>-</w:t>
      </w:r>
      <w:r w:rsidRPr="001A09CB">
        <w:rPr>
          <w:rFonts w:ascii="Calibri" w:hAnsi="Calibri" w:cs="Calibri"/>
          <w:lang w:val="en-US"/>
        </w:rPr>
        <w:t xml:space="preserve"> T responder cells at ratios. Representative histograms are shown on the left. T cell proliferation of CD4</w:t>
      </w:r>
      <w:r w:rsidRPr="001A09CB">
        <w:rPr>
          <w:rFonts w:ascii="Calibri" w:hAnsi="Calibri" w:cs="Calibri"/>
          <w:vertAlign w:val="superscript"/>
          <w:lang w:val="en-US"/>
        </w:rPr>
        <w:t>+</w:t>
      </w:r>
      <w:r w:rsidRPr="001A09CB">
        <w:rPr>
          <w:rFonts w:ascii="Calibri" w:hAnsi="Calibri" w:cs="Calibri"/>
          <w:lang w:val="en-US"/>
        </w:rPr>
        <w:t xml:space="preserve"> T cells is shown on the right. Data are shown as mean ± SEM (n = 6/7 (AD/CTR)). Statistical significance was determined by t-test.</w:t>
      </w:r>
    </w:p>
    <w:p w:rsidR="00C56037" w:rsidRPr="001A09CB" w:rsidRDefault="00C56037" w:rsidP="006C3480">
      <w:pPr>
        <w:spacing w:line="480" w:lineRule="auto"/>
        <w:jc w:val="both"/>
        <w:outlineLvl w:val="0"/>
        <w:rPr>
          <w:rFonts w:ascii="Calibri" w:hAnsi="Calibri" w:cs="Calibri"/>
          <w:lang w:val="en-US"/>
        </w:rPr>
      </w:pPr>
    </w:p>
    <w:p w:rsidR="00C56037" w:rsidRPr="001A09CB" w:rsidRDefault="00C56037" w:rsidP="006C3480">
      <w:pPr>
        <w:spacing w:line="480" w:lineRule="auto"/>
        <w:jc w:val="both"/>
        <w:outlineLvl w:val="0"/>
        <w:rPr>
          <w:rFonts w:ascii="Calibri" w:hAnsi="Calibri" w:cs="Calibri"/>
          <w:lang w:val="en-US"/>
        </w:rPr>
      </w:pPr>
    </w:p>
    <w:p w:rsidR="00C56037" w:rsidRPr="001A09CB" w:rsidRDefault="00C56037" w:rsidP="00C56037">
      <w:pPr>
        <w:spacing w:line="480" w:lineRule="auto"/>
        <w:jc w:val="both"/>
        <w:outlineLvl w:val="0"/>
        <w:rPr>
          <w:rFonts w:ascii="Calibri" w:hAnsi="Calibri" w:cs="Calibri"/>
          <w:lang w:val="en-US"/>
        </w:rPr>
      </w:pPr>
    </w:p>
    <w:p w:rsidR="00C56037" w:rsidRPr="001A09CB" w:rsidRDefault="00C56037" w:rsidP="00C56037">
      <w:pPr>
        <w:spacing w:line="480" w:lineRule="auto"/>
        <w:jc w:val="both"/>
        <w:outlineLvl w:val="0"/>
        <w:rPr>
          <w:rFonts w:ascii="Calibri" w:hAnsi="Calibri" w:cs="Calibri"/>
          <w:lang w:val="en-US"/>
        </w:rPr>
      </w:pPr>
    </w:p>
    <w:p w:rsidR="005F172C" w:rsidRPr="001A09CB" w:rsidRDefault="005F172C" w:rsidP="00C56037">
      <w:pPr>
        <w:spacing w:line="480" w:lineRule="auto"/>
        <w:jc w:val="both"/>
        <w:outlineLvl w:val="0"/>
        <w:rPr>
          <w:rFonts w:ascii="Calibri" w:hAnsi="Calibri" w:cs="Calibri"/>
          <w:lang w:val="en-US"/>
        </w:rPr>
      </w:pPr>
    </w:p>
    <w:p w:rsidR="005F172C" w:rsidRPr="001A09CB" w:rsidRDefault="005F172C" w:rsidP="00C56037">
      <w:pPr>
        <w:spacing w:line="480" w:lineRule="auto"/>
        <w:jc w:val="both"/>
        <w:outlineLvl w:val="0"/>
        <w:rPr>
          <w:rFonts w:ascii="Calibri" w:hAnsi="Calibri" w:cs="Calibri"/>
          <w:lang w:val="en-US"/>
        </w:rPr>
      </w:pPr>
    </w:p>
    <w:p w:rsidR="005F172C" w:rsidRPr="001A09CB" w:rsidRDefault="005F172C" w:rsidP="005F172C">
      <w:pPr>
        <w:spacing w:line="480" w:lineRule="auto"/>
        <w:jc w:val="both"/>
        <w:outlineLvl w:val="0"/>
        <w:rPr>
          <w:rFonts w:ascii="Calibri" w:hAnsi="Calibri" w:cs="Calibri"/>
          <w:b/>
          <w:sz w:val="24"/>
          <w:szCs w:val="24"/>
          <w:lang w:val="en-GB"/>
        </w:rPr>
      </w:pPr>
      <w:r w:rsidRPr="001A09CB">
        <w:rPr>
          <w:rFonts w:ascii="Calibri" w:hAnsi="Calibri" w:cs="Calibri"/>
          <w:b/>
          <w:sz w:val="24"/>
          <w:szCs w:val="24"/>
          <w:lang w:val="en-GB"/>
        </w:rPr>
        <w:lastRenderedPageBreak/>
        <w:t>Materials and Methods</w:t>
      </w:r>
    </w:p>
    <w:p w:rsidR="005F172C" w:rsidRPr="001A09CB" w:rsidRDefault="005F172C" w:rsidP="005F172C">
      <w:pPr>
        <w:spacing w:line="480" w:lineRule="auto"/>
        <w:jc w:val="both"/>
        <w:rPr>
          <w:rFonts w:ascii="Calibri" w:hAnsi="Calibri" w:cs="Calibri"/>
          <w:lang w:val="en-US"/>
        </w:rPr>
      </w:pPr>
      <w:r w:rsidRPr="001A09CB">
        <w:rPr>
          <w:rFonts w:ascii="Calibri" w:hAnsi="Calibri" w:cs="Calibri"/>
          <w:lang w:val="en-US"/>
        </w:rPr>
        <w:t>Peripheral blood was obtained from 37 AD patients (mean age 37 years, range 18–66). Atopic dermatitis diagnosis was based on clinical history and physical examination. 38 healthy volunteers were used as controls (mean age 32 years, range 19–61). The patients did not receive any systemic therapy. Each donor gave written informed consent and the study was approved by the local Ethics Committee.</w:t>
      </w:r>
    </w:p>
    <w:p w:rsidR="005F172C" w:rsidRPr="001A09CB" w:rsidRDefault="005F172C" w:rsidP="005F172C">
      <w:pPr>
        <w:spacing w:line="480" w:lineRule="auto"/>
        <w:jc w:val="both"/>
        <w:outlineLvl w:val="0"/>
        <w:rPr>
          <w:rFonts w:ascii="Calibri" w:hAnsi="Calibri" w:cs="Calibri"/>
          <w:i/>
          <w:lang w:val="en-US"/>
        </w:rPr>
      </w:pPr>
      <w:r w:rsidRPr="001A09CB">
        <w:rPr>
          <w:rFonts w:ascii="Calibri" w:hAnsi="Calibri" w:cs="Calibri"/>
          <w:i/>
          <w:lang w:val="en-US"/>
        </w:rPr>
        <w:t>Cell purification and culture</w:t>
      </w:r>
    </w:p>
    <w:p w:rsidR="005F172C" w:rsidRPr="001A09CB" w:rsidRDefault="005F172C" w:rsidP="005F172C">
      <w:pPr>
        <w:spacing w:line="480" w:lineRule="auto"/>
        <w:jc w:val="both"/>
        <w:rPr>
          <w:rFonts w:ascii="Calibri" w:hAnsi="Calibri" w:cs="Calibri"/>
          <w:lang w:val="en-US"/>
        </w:rPr>
      </w:pPr>
      <w:r w:rsidRPr="001A09CB">
        <w:rPr>
          <w:rFonts w:ascii="Calibri" w:hAnsi="Calibri" w:cs="Calibri"/>
          <w:lang w:val="en-US"/>
        </w:rPr>
        <w:t xml:space="preserve">Peripheral blood mononuclear cells (PBMCs) were prepared by a </w:t>
      </w:r>
      <w:proofErr w:type="spellStart"/>
      <w:r w:rsidRPr="001A09CB">
        <w:rPr>
          <w:rFonts w:ascii="Calibri" w:hAnsi="Calibri" w:cs="Calibri"/>
          <w:lang w:val="en-US"/>
        </w:rPr>
        <w:t>Lymphoprep</w:t>
      </w:r>
      <w:r w:rsidRPr="001A09CB">
        <w:rPr>
          <w:rFonts w:ascii="Calibri" w:hAnsi="Calibri" w:cs="Calibri"/>
          <w:vertAlign w:val="superscript"/>
          <w:lang w:val="en-US"/>
        </w:rPr>
        <w:t>TM</w:t>
      </w:r>
      <w:proofErr w:type="spellEnd"/>
      <w:r w:rsidRPr="001A09CB">
        <w:rPr>
          <w:rFonts w:ascii="Calibri" w:hAnsi="Calibri" w:cs="Calibri"/>
          <w:lang w:val="en-US"/>
        </w:rPr>
        <w:t xml:space="preserve"> gradient centrifugation. Purification of 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xml:space="preserve"> T cells was accomplished by two consecutive negative selections with a regulatory T cell isolation kit (</w:t>
      </w:r>
      <w:proofErr w:type="spellStart"/>
      <w:r w:rsidRPr="001A09CB">
        <w:rPr>
          <w:rFonts w:ascii="Calibri" w:hAnsi="Calibri" w:cs="Calibri"/>
          <w:lang w:val="en-US"/>
        </w:rPr>
        <w:t>Miltenyi</w:t>
      </w:r>
      <w:proofErr w:type="spellEnd"/>
      <w:r w:rsidRPr="001A09CB">
        <w:rPr>
          <w:rFonts w:ascii="Calibri" w:hAnsi="Calibri" w:cs="Calibri"/>
          <w:lang w:val="en-US"/>
        </w:rPr>
        <w:t xml:space="preserve"> Biotech GmbH, </w:t>
      </w:r>
      <w:proofErr w:type="spellStart"/>
      <w:r w:rsidRPr="001A09CB">
        <w:rPr>
          <w:rFonts w:ascii="Calibri" w:hAnsi="Calibri" w:cs="Calibri"/>
          <w:lang w:val="en-US"/>
        </w:rPr>
        <w:t>Bergisch</w:t>
      </w:r>
      <w:proofErr w:type="spellEnd"/>
      <w:r w:rsidRPr="001A09CB">
        <w:rPr>
          <w:rFonts w:ascii="Calibri" w:hAnsi="Calibri" w:cs="Calibri"/>
          <w:lang w:val="en-US"/>
        </w:rPr>
        <w:t xml:space="preserve"> </w:t>
      </w:r>
      <w:proofErr w:type="spellStart"/>
      <w:r w:rsidRPr="001A09CB">
        <w:rPr>
          <w:rFonts w:ascii="Calibri" w:hAnsi="Calibri" w:cs="Calibri"/>
          <w:lang w:val="en-US"/>
        </w:rPr>
        <w:t>Gladbach</w:t>
      </w:r>
      <w:proofErr w:type="spellEnd"/>
      <w:r w:rsidRPr="001A09CB">
        <w:rPr>
          <w:rFonts w:ascii="Calibri" w:hAnsi="Calibri" w:cs="Calibri"/>
          <w:lang w:val="en-US"/>
        </w:rPr>
        <w:t>, Germany), according to the manufacturer´s instructions. The purity of isolated 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xml:space="preserve"> T cells was &gt; 97 % and identical in cells from AD patients and healthy controls. 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xml:space="preserve"> T cells were cultured on 5 µg/ml anti-CD3 (clone UCHT1) -coated plates in the presence of 100 U/ml recombinant human IL-2 (</w:t>
      </w:r>
      <w:proofErr w:type="spellStart"/>
      <w:r w:rsidRPr="001A09CB">
        <w:rPr>
          <w:rFonts w:ascii="Calibri" w:hAnsi="Calibri" w:cs="Calibri"/>
          <w:lang w:val="en-US"/>
        </w:rPr>
        <w:t>PeproTech</w:t>
      </w:r>
      <w:proofErr w:type="spellEnd"/>
      <w:r w:rsidRPr="001A09CB">
        <w:rPr>
          <w:rFonts w:ascii="Calibri" w:hAnsi="Calibri" w:cs="Calibri"/>
          <w:lang w:val="en-US"/>
        </w:rPr>
        <w:t xml:space="preserve">, Rocky Hill, NJ) and 5 ng/ml recombinant human TGF-β (R&amp;D Systems, Wiesbaden, Germany) at 1 Mio cells per ml in RPMI 1640 supplemented with 10 % inactive </w:t>
      </w:r>
      <w:proofErr w:type="spellStart"/>
      <w:r w:rsidRPr="001A09CB">
        <w:rPr>
          <w:rFonts w:ascii="Calibri" w:hAnsi="Calibri" w:cs="Calibri"/>
          <w:lang w:val="en-US"/>
        </w:rPr>
        <w:t>foetal</w:t>
      </w:r>
      <w:proofErr w:type="spellEnd"/>
      <w:r w:rsidRPr="001A09CB">
        <w:rPr>
          <w:rFonts w:ascii="Calibri" w:hAnsi="Calibri" w:cs="Calibri"/>
          <w:lang w:val="en-US"/>
        </w:rPr>
        <w:t xml:space="preserve"> calf serum (FCS), 1 % antibiotics/</w:t>
      </w:r>
      <w:proofErr w:type="spellStart"/>
      <w:r w:rsidRPr="001A09CB">
        <w:rPr>
          <w:rFonts w:ascii="Calibri" w:hAnsi="Calibri" w:cs="Calibri"/>
          <w:lang w:val="en-US"/>
        </w:rPr>
        <w:t>antimycotis</w:t>
      </w:r>
      <w:proofErr w:type="spellEnd"/>
      <w:r w:rsidRPr="001A09CB">
        <w:rPr>
          <w:rFonts w:ascii="Calibri" w:hAnsi="Calibri" w:cs="Calibri"/>
          <w:lang w:val="en-US"/>
        </w:rPr>
        <w:t xml:space="preserve">, 1 % L-glutamine and 0.2 % (v/v) </w:t>
      </w:r>
      <w:proofErr w:type="spellStart"/>
      <w:r w:rsidRPr="001A09CB">
        <w:rPr>
          <w:rFonts w:ascii="Calibri" w:hAnsi="Calibri" w:cs="Calibri"/>
          <w:lang w:val="en-US"/>
        </w:rPr>
        <w:t>mercaptoethanol</w:t>
      </w:r>
      <w:proofErr w:type="spellEnd"/>
      <w:r w:rsidRPr="001A09CB">
        <w:rPr>
          <w:rFonts w:ascii="Calibri" w:hAnsi="Calibri" w:cs="Calibri"/>
          <w:lang w:val="en-US"/>
        </w:rPr>
        <w:t>. iTregs were harvested after 1 or 3 days of culture at 37 °C in a 5 % CO</w:t>
      </w:r>
      <w:r w:rsidRPr="001A09CB">
        <w:rPr>
          <w:rFonts w:ascii="Calibri" w:hAnsi="Calibri" w:cs="Calibri"/>
          <w:vertAlign w:val="subscript"/>
          <w:lang w:val="en-US"/>
        </w:rPr>
        <w:t>2</w:t>
      </w:r>
      <w:r w:rsidRPr="001A09CB">
        <w:rPr>
          <w:rFonts w:ascii="Calibri" w:hAnsi="Calibri" w:cs="Calibri"/>
          <w:lang w:val="en-US"/>
        </w:rPr>
        <w:t xml:space="preserve"> milieu in a humidified chamber.</w:t>
      </w:r>
    </w:p>
    <w:p w:rsidR="005F172C" w:rsidRPr="001A09CB" w:rsidRDefault="005F172C" w:rsidP="005F172C">
      <w:pPr>
        <w:spacing w:line="480" w:lineRule="auto"/>
        <w:jc w:val="both"/>
        <w:rPr>
          <w:rFonts w:ascii="Calibri" w:hAnsi="Calibri" w:cs="Calibri"/>
          <w:i/>
          <w:lang w:val="en-US"/>
        </w:rPr>
      </w:pPr>
      <w:r w:rsidRPr="001A09CB">
        <w:rPr>
          <w:rFonts w:ascii="Calibri" w:hAnsi="Calibri" w:cs="Calibri"/>
          <w:i/>
          <w:lang w:val="en-US"/>
        </w:rPr>
        <w:t>Detection of phosphorylated Smad2/3 after in vitro stimulation with TGF-β in Western Blot</w:t>
      </w:r>
    </w:p>
    <w:p w:rsidR="005F172C" w:rsidRPr="001A09CB" w:rsidRDefault="005F172C" w:rsidP="005F172C">
      <w:pPr>
        <w:spacing w:line="480" w:lineRule="auto"/>
        <w:jc w:val="both"/>
        <w:rPr>
          <w:rFonts w:ascii="Calibri" w:hAnsi="Calibri" w:cs="Calibri"/>
          <w:lang w:val="en-US"/>
        </w:rPr>
      </w:pPr>
      <w:r w:rsidRPr="001A09CB">
        <w:rPr>
          <w:rFonts w:ascii="Calibri" w:hAnsi="Calibri" w:cs="Calibri"/>
          <w:lang w:val="en-US"/>
        </w:rPr>
        <w:t>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xml:space="preserve"> T cells were cultured 16 hours in RPMI 1640 + 0.25 % FCS. Cells were then stimulated with 5 ng/ml TGF-β (R&amp;D Systems, Wiesbaden, Germany) for 1 hour or left untreated. Subsequently, cells were washed with ice cold PBS and then lysed in RIPA buffer with 1 mM PMSF, 5 µg/ml aprotinin, 5 µg/ml leupeptin (all Santa Cruz Biotechnology, CA, USA) and 1 % phosphatase inhibitor cocktail (Thermo Scientific). After 30 min of extraction on ice, cell lysates were collected by centrifugation at 15000 </w:t>
      </w:r>
      <w:proofErr w:type="spellStart"/>
      <w:r w:rsidRPr="001A09CB">
        <w:rPr>
          <w:rFonts w:ascii="Calibri" w:hAnsi="Calibri" w:cs="Calibri"/>
          <w:lang w:val="en-US"/>
        </w:rPr>
        <w:t>xg</w:t>
      </w:r>
      <w:proofErr w:type="spellEnd"/>
      <w:r w:rsidRPr="001A09CB">
        <w:rPr>
          <w:rFonts w:ascii="Calibri" w:hAnsi="Calibri" w:cs="Calibri"/>
          <w:lang w:val="en-US"/>
        </w:rPr>
        <w:t xml:space="preserve"> for 15 min. Protein content was measured by Bradford-Assay and 10 µg of total protein was loaded onto 12 % SDS-PAGE. Proteins were blotted onto PVDF membranes (Millipore, Billerica, MA) </w:t>
      </w:r>
      <w:r w:rsidRPr="001A09CB">
        <w:rPr>
          <w:rFonts w:ascii="Calibri" w:hAnsi="Calibri" w:cs="Calibri"/>
          <w:lang w:val="en-US"/>
        </w:rPr>
        <w:lastRenderedPageBreak/>
        <w:t>and blocked in 5 % BSA in Tris-buffered saline (20 mM Tris, pH 7.5, and 0.15 % M NaCl) containing 0.1 % Tween-20 for 1 h at room temperature. Rabbit anti-phosphorylated Smad2/3 (clone D27F4, Cell Signaling Technology, Inc., Danvers, MA, USA) was incubated overnight. Mouse anti-GAPDH (clone 0411, Santa Cruz Biotechnology, CA, USA) was used as loading control. Donkey anti-rabbit IgG-HRP (sc-2317) and goat anti-mouse IgG</w:t>
      </w:r>
      <w:r w:rsidRPr="001A09CB">
        <w:rPr>
          <w:rFonts w:ascii="Calibri" w:hAnsi="Calibri" w:cs="Calibri"/>
          <w:lang w:val="en-US"/>
        </w:rPr>
        <w:noBreakHyphen/>
        <w:t xml:space="preserve">HRP (sc-2005, both Santa Cruz Biotechnology) respectively was used for detection of the primary antibodies. Detection was performed using </w:t>
      </w:r>
      <w:proofErr w:type="spellStart"/>
      <w:r w:rsidRPr="001A09CB">
        <w:rPr>
          <w:rFonts w:ascii="Calibri" w:hAnsi="Calibri" w:cs="Calibri"/>
          <w:lang w:val="en-US"/>
        </w:rPr>
        <w:t>WesternBright</w:t>
      </w:r>
      <w:proofErr w:type="spellEnd"/>
      <w:r w:rsidRPr="001A09CB">
        <w:rPr>
          <w:rFonts w:ascii="Calibri" w:hAnsi="Calibri" w:cs="Calibri"/>
          <w:lang w:val="en-US"/>
        </w:rPr>
        <w:t xml:space="preserve"> Sirius (</w:t>
      </w:r>
      <w:proofErr w:type="spellStart"/>
      <w:r w:rsidRPr="001A09CB">
        <w:rPr>
          <w:rFonts w:ascii="Calibri" w:hAnsi="Calibri" w:cs="Calibri"/>
          <w:lang w:val="en-US"/>
        </w:rPr>
        <w:t>Advansta</w:t>
      </w:r>
      <w:proofErr w:type="spellEnd"/>
      <w:r w:rsidRPr="001A09CB">
        <w:rPr>
          <w:rFonts w:ascii="Calibri" w:hAnsi="Calibri" w:cs="Calibri"/>
          <w:lang w:val="en-US"/>
        </w:rPr>
        <w:t>, Menlo Park, USA) on Fujifilm LAS 3000 analysis (Fujifilm Europe GmbH, Düsseldorf, Germany).</w:t>
      </w:r>
    </w:p>
    <w:p w:rsidR="005F172C" w:rsidRPr="001A09CB" w:rsidRDefault="005F172C" w:rsidP="005F172C">
      <w:pPr>
        <w:spacing w:line="480" w:lineRule="auto"/>
        <w:rPr>
          <w:rFonts w:ascii="Calibri" w:hAnsi="Calibri" w:cs="Calibri"/>
          <w:i/>
          <w:lang w:val="en-US"/>
        </w:rPr>
      </w:pPr>
      <w:r w:rsidRPr="001A09CB">
        <w:rPr>
          <w:rFonts w:ascii="Calibri" w:hAnsi="Calibri" w:cs="Calibri"/>
          <w:i/>
          <w:lang w:val="en-US"/>
        </w:rPr>
        <w:t>Immunofluorescence staining of surface markers</w:t>
      </w:r>
    </w:p>
    <w:p w:rsidR="005F172C" w:rsidRPr="001A09CB" w:rsidRDefault="005F172C" w:rsidP="005F172C">
      <w:pPr>
        <w:spacing w:line="480" w:lineRule="auto"/>
        <w:jc w:val="both"/>
        <w:rPr>
          <w:rFonts w:ascii="Calibri" w:hAnsi="Calibri" w:cs="Calibri"/>
          <w:lang w:val="en-US"/>
        </w:rPr>
      </w:pPr>
      <w:r w:rsidRPr="001A09CB">
        <w:rPr>
          <w:rFonts w:ascii="Calibri" w:hAnsi="Calibri" w:cs="Calibri"/>
          <w:lang w:val="en-US"/>
        </w:rPr>
        <w:t xml:space="preserve">Mouse anti-CD25-PE (clone 4E3, </w:t>
      </w:r>
      <w:proofErr w:type="spellStart"/>
      <w:r w:rsidRPr="001A09CB">
        <w:rPr>
          <w:rFonts w:ascii="Calibri" w:hAnsi="Calibri" w:cs="Calibri"/>
          <w:lang w:val="en-US"/>
        </w:rPr>
        <w:t>Miltenyi</w:t>
      </w:r>
      <w:proofErr w:type="spellEnd"/>
      <w:r w:rsidRPr="001A09CB">
        <w:rPr>
          <w:rFonts w:ascii="Calibri" w:hAnsi="Calibri" w:cs="Calibri"/>
          <w:lang w:val="en-US"/>
        </w:rPr>
        <w:t xml:space="preserve"> </w:t>
      </w:r>
      <w:proofErr w:type="spellStart"/>
      <w:r w:rsidRPr="001A09CB">
        <w:rPr>
          <w:rFonts w:ascii="Calibri" w:hAnsi="Calibri" w:cs="Calibri"/>
          <w:lang w:val="en-US"/>
        </w:rPr>
        <w:t>Biotec</w:t>
      </w:r>
      <w:proofErr w:type="spellEnd"/>
      <w:r w:rsidRPr="001A09CB">
        <w:rPr>
          <w:rFonts w:ascii="Calibri" w:hAnsi="Calibri" w:cs="Calibri"/>
          <w:lang w:val="en-US"/>
        </w:rPr>
        <w:t xml:space="preserve"> GmbH) and mouse anti-CD25-FITC (clone M-A251, BD Biosciences Pharmingen) were incubated for 10 min at room temperature. Mouse anti-GARP-APC (clone 7B11, BD Pharmingen) was incubated for 20 min at 4 °C. Unconjugated anti-TGF-βRI (clone MM0015-8G33; </w:t>
      </w:r>
      <w:proofErr w:type="spellStart"/>
      <w:r w:rsidRPr="001A09CB">
        <w:rPr>
          <w:rFonts w:ascii="Calibri" w:hAnsi="Calibri" w:cs="Calibri"/>
          <w:lang w:val="en-US"/>
        </w:rPr>
        <w:t>abcam</w:t>
      </w:r>
      <w:proofErr w:type="spellEnd"/>
      <w:r w:rsidRPr="001A09CB">
        <w:rPr>
          <w:rFonts w:ascii="Calibri" w:hAnsi="Calibri" w:cs="Calibri"/>
          <w:lang w:val="en-US"/>
        </w:rPr>
        <w:t xml:space="preserve">, Berlin, Germany), anti-TGF-βRII (clone MM0056-4F14; </w:t>
      </w:r>
      <w:proofErr w:type="spellStart"/>
      <w:r w:rsidRPr="001A09CB">
        <w:rPr>
          <w:rFonts w:ascii="Calibri" w:hAnsi="Calibri" w:cs="Calibri"/>
          <w:lang w:val="en-US"/>
        </w:rPr>
        <w:t>abcam</w:t>
      </w:r>
      <w:proofErr w:type="spellEnd"/>
      <w:r w:rsidRPr="001A09CB">
        <w:rPr>
          <w:rFonts w:ascii="Calibri" w:hAnsi="Calibri" w:cs="Calibri"/>
          <w:lang w:val="en-US"/>
        </w:rPr>
        <w:t xml:space="preserve">) and anti-TGF-βRIII (clone 31349, R&amp;D Systems) were applied for 20 min followed by 20 min of goat anti-mouse-APC (Jackson </w:t>
      </w:r>
      <w:proofErr w:type="spellStart"/>
      <w:r w:rsidRPr="001A09CB">
        <w:rPr>
          <w:rFonts w:ascii="Calibri" w:hAnsi="Calibri" w:cs="Calibri"/>
          <w:lang w:val="en-US"/>
        </w:rPr>
        <w:t>ImmunoResearch</w:t>
      </w:r>
      <w:proofErr w:type="spellEnd"/>
      <w:r w:rsidRPr="001A09CB">
        <w:rPr>
          <w:rFonts w:ascii="Calibri" w:hAnsi="Calibri" w:cs="Calibri"/>
          <w:lang w:val="en-US"/>
        </w:rPr>
        <w:t xml:space="preserve"> Laboratories, Inc., West Grove, PA, USA) Cells were then incubated with 5 % mouse serum for 15 min followed by extracellular staining of mouse anti-CD25-FITC (clone M-A251, BD Pharmingen). Consecutive intracellular rat anti-FOXP3-PE staining was carried out as described beneath.</w:t>
      </w:r>
    </w:p>
    <w:p w:rsidR="005F172C" w:rsidRPr="001A09CB" w:rsidRDefault="005F172C" w:rsidP="005F172C">
      <w:pPr>
        <w:spacing w:line="480" w:lineRule="auto"/>
        <w:rPr>
          <w:rFonts w:ascii="Calibri" w:hAnsi="Calibri" w:cs="Calibri"/>
          <w:i/>
          <w:lang w:val="en-US"/>
        </w:rPr>
      </w:pPr>
      <w:proofErr w:type="spellStart"/>
      <w:r w:rsidRPr="001A09CB">
        <w:rPr>
          <w:rFonts w:ascii="Calibri" w:hAnsi="Calibri" w:cs="Calibri"/>
          <w:i/>
          <w:lang w:val="en-US"/>
        </w:rPr>
        <w:t>Immunoflourescence</w:t>
      </w:r>
      <w:proofErr w:type="spellEnd"/>
      <w:r w:rsidRPr="001A09CB">
        <w:rPr>
          <w:rFonts w:ascii="Calibri" w:hAnsi="Calibri" w:cs="Calibri"/>
          <w:i/>
          <w:lang w:val="en-US"/>
        </w:rPr>
        <w:t xml:space="preserve"> staining of intracellular markers</w:t>
      </w:r>
    </w:p>
    <w:p w:rsidR="005F172C" w:rsidRPr="001A09CB" w:rsidRDefault="005F172C" w:rsidP="005F172C">
      <w:pPr>
        <w:spacing w:line="480" w:lineRule="auto"/>
        <w:jc w:val="both"/>
        <w:rPr>
          <w:rFonts w:ascii="Calibri" w:hAnsi="Calibri" w:cs="Calibri"/>
          <w:lang w:val="en-US"/>
        </w:rPr>
      </w:pPr>
      <w:r w:rsidRPr="001A09CB">
        <w:rPr>
          <w:rFonts w:ascii="Calibri" w:hAnsi="Calibri" w:cs="Calibri"/>
          <w:lang w:val="en-US"/>
        </w:rPr>
        <w:t xml:space="preserve">Intracellular rat-anti FOXP3-PE staining was carried out as described previously. Briefly, cells were first stained with extracellular markers and then fixed with Transcription Factor Staining Buffer Set for 30 min. Consecutive permeabilization was carried out for 10 min with permeabilization buffer (Fixation/Permeabilization Diluent </w:t>
      </w:r>
      <w:proofErr w:type="spellStart"/>
      <w:r w:rsidRPr="001A09CB">
        <w:rPr>
          <w:rFonts w:ascii="Calibri" w:hAnsi="Calibri" w:cs="Calibri"/>
          <w:lang w:val="en-US"/>
        </w:rPr>
        <w:t>eBioscience</w:t>
      </w:r>
      <w:proofErr w:type="spellEnd"/>
      <w:r w:rsidRPr="001A09CB">
        <w:rPr>
          <w:rFonts w:ascii="Calibri" w:hAnsi="Calibri" w:cs="Calibri"/>
          <w:lang w:val="en-US"/>
        </w:rPr>
        <w:t xml:space="preserve">) + 2 % rat serum. Rat anti-FOXP3-PE (clone PCH101, </w:t>
      </w:r>
      <w:proofErr w:type="spellStart"/>
      <w:r w:rsidRPr="001A09CB">
        <w:rPr>
          <w:rFonts w:ascii="Calibri" w:hAnsi="Calibri" w:cs="Calibri"/>
          <w:lang w:val="en-US"/>
        </w:rPr>
        <w:t>eBioscience</w:t>
      </w:r>
      <w:proofErr w:type="spellEnd"/>
      <w:r w:rsidRPr="001A09CB">
        <w:rPr>
          <w:rFonts w:ascii="Calibri" w:hAnsi="Calibri" w:cs="Calibri"/>
          <w:lang w:val="en-US"/>
        </w:rPr>
        <w:t>) was then added and incubated at room temperature for 30 min. All experiments were performed using isotype-matched controls of unrelated specificity.</w:t>
      </w:r>
    </w:p>
    <w:p w:rsidR="005F172C" w:rsidRPr="001A09CB" w:rsidRDefault="005F172C" w:rsidP="005F172C">
      <w:pPr>
        <w:spacing w:line="480" w:lineRule="auto"/>
        <w:jc w:val="both"/>
        <w:outlineLvl w:val="0"/>
        <w:rPr>
          <w:rFonts w:ascii="Calibri" w:hAnsi="Calibri" w:cs="Calibri"/>
          <w:i/>
          <w:lang w:val="en-US"/>
        </w:rPr>
      </w:pPr>
      <w:r w:rsidRPr="001A09CB">
        <w:rPr>
          <w:rFonts w:ascii="Calibri" w:hAnsi="Calibri" w:cs="Calibri"/>
          <w:i/>
          <w:lang w:val="en-US"/>
        </w:rPr>
        <w:lastRenderedPageBreak/>
        <w:t>Flow cytometric analysis</w:t>
      </w:r>
    </w:p>
    <w:p w:rsidR="005F172C" w:rsidRPr="001A09CB" w:rsidRDefault="005F172C" w:rsidP="005F172C">
      <w:pPr>
        <w:spacing w:line="480" w:lineRule="auto"/>
        <w:jc w:val="both"/>
        <w:rPr>
          <w:rFonts w:ascii="Calibri" w:hAnsi="Calibri" w:cs="Calibri"/>
          <w:lang w:val="en-US"/>
        </w:rPr>
      </w:pPr>
      <w:r w:rsidRPr="001A09CB">
        <w:rPr>
          <w:rFonts w:ascii="Calibri" w:hAnsi="Calibri" w:cs="Calibri"/>
          <w:lang w:val="en-US"/>
        </w:rPr>
        <w:t xml:space="preserve">Cells were analyzed to determine the expression of phenotypic markers, TGF-βRI-III and FOXP3 on a </w:t>
      </w:r>
      <w:proofErr w:type="spellStart"/>
      <w:r w:rsidRPr="001A09CB">
        <w:rPr>
          <w:rFonts w:ascii="Calibri" w:hAnsi="Calibri" w:cs="Calibri"/>
          <w:lang w:val="en-US"/>
        </w:rPr>
        <w:t>FACScan</w:t>
      </w:r>
      <w:proofErr w:type="spellEnd"/>
      <w:r w:rsidRPr="001A09CB">
        <w:rPr>
          <w:rFonts w:ascii="Calibri" w:hAnsi="Calibri" w:cs="Calibri"/>
          <w:lang w:val="en-US"/>
        </w:rPr>
        <w:t xml:space="preserve"> flow cytometer using </w:t>
      </w:r>
      <w:proofErr w:type="spellStart"/>
      <w:r w:rsidRPr="001A09CB">
        <w:rPr>
          <w:rFonts w:ascii="Calibri" w:hAnsi="Calibri" w:cs="Calibri"/>
          <w:lang w:val="en-US"/>
        </w:rPr>
        <w:t>FACSDiva</w:t>
      </w:r>
      <w:proofErr w:type="spellEnd"/>
      <w:r w:rsidRPr="001A09CB">
        <w:rPr>
          <w:rFonts w:ascii="Calibri" w:hAnsi="Calibri" w:cs="Calibri"/>
          <w:lang w:val="en-US"/>
        </w:rPr>
        <w:t xml:space="preserve"> software (both Becton Dickinson GmbH, Heidelberg, Germany). To analyze the staining of cell-surface markers, the cells were gated on FSC-SSC dot plot, then the lymphocytes were gated in </w:t>
      </w:r>
      <w:proofErr w:type="gramStart"/>
      <w:r w:rsidRPr="001A09CB">
        <w:rPr>
          <w:rFonts w:ascii="Calibri" w:hAnsi="Calibri" w:cs="Calibri"/>
          <w:lang w:val="en-US"/>
        </w:rPr>
        <w:t>a</w:t>
      </w:r>
      <w:proofErr w:type="gramEnd"/>
      <w:r w:rsidRPr="001A09CB">
        <w:rPr>
          <w:rFonts w:ascii="Calibri" w:hAnsi="Calibri" w:cs="Calibri"/>
          <w:lang w:val="en-US"/>
        </w:rPr>
        <w:t xml:space="preserve"> SSC-CD4 dot plot. The 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xml:space="preserve"> cells were selected, and a CD25 FOXP3 dot plot was created to get the double positive CD25</w:t>
      </w:r>
      <w:r w:rsidRPr="001A09CB">
        <w:rPr>
          <w:rFonts w:ascii="Calibri" w:hAnsi="Calibri" w:cs="Calibri"/>
          <w:vertAlign w:val="superscript"/>
          <w:lang w:val="en-US"/>
        </w:rPr>
        <w:t>+</w:t>
      </w:r>
      <w:r w:rsidRPr="001A09CB">
        <w:rPr>
          <w:rFonts w:ascii="Calibri" w:hAnsi="Calibri" w:cs="Calibri"/>
          <w:lang w:val="en-US"/>
        </w:rPr>
        <w:t>FOXP3</w:t>
      </w:r>
      <w:r w:rsidRPr="001A09CB">
        <w:rPr>
          <w:rFonts w:ascii="Calibri" w:hAnsi="Calibri" w:cs="Calibri"/>
          <w:vertAlign w:val="superscript"/>
          <w:lang w:val="en-US"/>
        </w:rPr>
        <w:t>+</w:t>
      </w:r>
      <w:r w:rsidRPr="001A09CB">
        <w:rPr>
          <w:rFonts w:ascii="Calibri" w:hAnsi="Calibri" w:cs="Calibri"/>
          <w:lang w:val="en-US"/>
        </w:rPr>
        <w:t xml:space="preserve"> T cells. Then, TGF-βRI-III positive cells were gated on the expression of 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CD25</w:t>
      </w:r>
      <w:r w:rsidRPr="001A09CB">
        <w:rPr>
          <w:rFonts w:ascii="Calibri" w:hAnsi="Calibri" w:cs="Calibri"/>
          <w:vertAlign w:val="superscript"/>
          <w:lang w:val="en-US"/>
        </w:rPr>
        <w:t>+</w:t>
      </w:r>
      <w:r w:rsidRPr="001A09CB">
        <w:rPr>
          <w:rFonts w:ascii="Calibri" w:hAnsi="Calibri" w:cs="Calibri"/>
          <w:lang w:val="en-US"/>
        </w:rPr>
        <w:t>FOXP3</w:t>
      </w:r>
      <w:r w:rsidRPr="001A09CB">
        <w:rPr>
          <w:rFonts w:ascii="Calibri" w:hAnsi="Calibri" w:cs="Calibri"/>
          <w:vertAlign w:val="superscript"/>
          <w:lang w:val="en-US"/>
        </w:rPr>
        <w:t>-</w:t>
      </w:r>
      <w:r w:rsidRPr="001A09CB">
        <w:rPr>
          <w:rFonts w:ascii="Calibri" w:hAnsi="Calibri" w:cs="Calibri"/>
          <w:lang w:val="en-US"/>
        </w:rPr>
        <w:t xml:space="preserve"> and CD25</w:t>
      </w:r>
      <w:r w:rsidRPr="001A09CB">
        <w:rPr>
          <w:rFonts w:ascii="Calibri" w:hAnsi="Calibri" w:cs="Calibri"/>
          <w:vertAlign w:val="superscript"/>
          <w:lang w:val="en-US"/>
        </w:rPr>
        <w:t>+</w:t>
      </w:r>
      <w:r w:rsidRPr="001A09CB">
        <w:rPr>
          <w:rFonts w:ascii="Calibri" w:hAnsi="Calibri" w:cs="Calibri"/>
          <w:lang w:val="en-US"/>
        </w:rPr>
        <w:t>FOXP3</w:t>
      </w:r>
      <w:r w:rsidRPr="001A09CB">
        <w:rPr>
          <w:rFonts w:ascii="Calibri" w:hAnsi="Calibri" w:cs="Calibri"/>
          <w:vertAlign w:val="superscript"/>
          <w:lang w:val="en-US"/>
        </w:rPr>
        <w:t>+</w:t>
      </w:r>
      <w:r w:rsidRPr="001A09CB">
        <w:rPr>
          <w:rFonts w:ascii="Calibri" w:hAnsi="Calibri" w:cs="Calibri"/>
          <w:lang w:val="en-US"/>
        </w:rPr>
        <w:t>.</w:t>
      </w:r>
    </w:p>
    <w:p w:rsidR="005F172C" w:rsidRPr="001A09CB" w:rsidRDefault="005F172C" w:rsidP="005F172C">
      <w:pPr>
        <w:spacing w:line="480" w:lineRule="auto"/>
        <w:jc w:val="both"/>
        <w:outlineLvl w:val="0"/>
        <w:rPr>
          <w:rFonts w:ascii="Calibri" w:hAnsi="Calibri" w:cs="Calibri"/>
          <w:i/>
          <w:lang w:val="en-US"/>
        </w:rPr>
      </w:pPr>
      <w:r w:rsidRPr="001A09CB">
        <w:rPr>
          <w:rFonts w:ascii="Calibri" w:hAnsi="Calibri" w:cs="Calibri"/>
          <w:i/>
          <w:lang w:val="en-US"/>
        </w:rPr>
        <w:t>Quantitative real-time PCR</w:t>
      </w:r>
    </w:p>
    <w:p w:rsidR="005F172C" w:rsidRPr="001A09CB" w:rsidRDefault="005F172C" w:rsidP="005F172C">
      <w:pPr>
        <w:spacing w:line="480" w:lineRule="auto"/>
        <w:jc w:val="both"/>
        <w:rPr>
          <w:rFonts w:ascii="Calibri" w:hAnsi="Calibri" w:cs="Calibri"/>
          <w:lang w:val="en-US"/>
        </w:rPr>
      </w:pPr>
      <w:r w:rsidRPr="001A09CB">
        <w:rPr>
          <w:rFonts w:ascii="Calibri" w:hAnsi="Calibri" w:cs="Calibri"/>
          <w:lang w:val="en-US"/>
        </w:rPr>
        <w:t>Total RNA was isolated from 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xml:space="preserve"> T cells or from magnetically enriched CD4</w:t>
      </w:r>
      <w:r w:rsidRPr="001A09CB">
        <w:rPr>
          <w:rFonts w:ascii="Calibri" w:hAnsi="Calibri" w:cs="Calibri"/>
          <w:vertAlign w:val="superscript"/>
          <w:lang w:val="en-US"/>
        </w:rPr>
        <w:t>+</w:t>
      </w:r>
      <w:r w:rsidRPr="001A09CB">
        <w:rPr>
          <w:rFonts w:ascii="Calibri" w:hAnsi="Calibri" w:cs="Calibri"/>
          <w:lang w:val="en-US"/>
        </w:rPr>
        <w:t>CD25</w:t>
      </w:r>
      <w:r w:rsidRPr="001A09CB">
        <w:rPr>
          <w:rFonts w:ascii="Calibri" w:hAnsi="Calibri" w:cs="Calibri"/>
          <w:vertAlign w:val="superscript"/>
          <w:lang w:val="en-US"/>
        </w:rPr>
        <w:t>+</w:t>
      </w:r>
      <w:r w:rsidRPr="001A09CB">
        <w:rPr>
          <w:rFonts w:ascii="Calibri" w:hAnsi="Calibri" w:cs="Calibri"/>
          <w:lang w:val="en-US"/>
        </w:rPr>
        <w:t xml:space="preserve"> iTreg after 3 days of culture with a </w:t>
      </w:r>
      <w:proofErr w:type="spellStart"/>
      <w:r w:rsidRPr="001A09CB">
        <w:rPr>
          <w:rFonts w:ascii="Calibri" w:hAnsi="Calibri" w:cs="Calibri"/>
          <w:lang w:val="en-US"/>
        </w:rPr>
        <w:t>NucleoSpin</w:t>
      </w:r>
      <w:proofErr w:type="spellEnd"/>
      <w:r w:rsidRPr="001A09CB">
        <w:rPr>
          <w:rFonts w:ascii="Calibri" w:hAnsi="Calibri" w:cs="Calibri"/>
          <w:lang w:val="en-US"/>
        </w:rPr>
        <w:t xml:space="preserve"> RNA kit (</w:t>
      </w:r>
      <w:proofErr w:type="spellStart"/>
      <w:r w:rsidRPr="001A09CB">
        <w:rPr>
          <w:rFonts w:ascii="Calibri" w:hAnsi="Calibri" w:cs="Calibri"/>
          <w:lang w:val="en-US"/>
        </w:rPr>
        <w:t>Macherey</w:t>
      </w:r>
      <w:proofErr w:type="spellEnd"/>
      <w:r w:rsidRPr="001A09CB">
        <w:rPr>
          <w:rFonts w:ascii="Calibri" w:hAnsi="Calibri" w:cs="Calibri"/>
          <w:lang w:val="en-US"/>
        </w:rPr>
        <w:t xml:space="preserve">-Nagel, </w:t>
      </w:r>
      <w:proofErr w:type="spellStart"/>
      <w:r w:rsidRPr="001A09CB">
        <w:rPr>
          <w:rFonts w:ascii="Calibri" w:hAnsi="Calibri" w:cs="Calibri"/>
          <w:lang w:val="en-US"/>
        </w:rPr>
        <w:t>Dueren</w:t>
      </w:r>
      <w:proofErr w:type="spellEnd"/>
      <w:r w:rsidRPr="001A09CB">
        <w:rPr>
          <w:rFonts w:ascii="Calibri" w:hAnsi="Calibri" w:cs="Calibri"/>
          <w:lang w:val="en-US"/>
        </w:rPr>
        <w:t>, Germany). Complementary DNA synthesis was carried out with TaqMan reverse transcription reagents with random hexamers (Applied Biosystems, Darmstadt, Germany). The cDNA was amplified using TaqMan Gene Expression Master Mix and predesigned TaqMan Gene Expression Assays, according to the recommendations of the manufacturer´s instructions. Expression levels of FOXP3, Smad3 and Smad7 were quantified with the given primers and 18S was used as an endogenous reference. Each reaction was performed in duplicate. Primers, including probes, were as follows: FOXP3 (Hs01085835_m1), Smad3 (Hs00969210_m1), Smad7 (Hs00998193_m1) and 18S (4310893E). All assays were performed according to the manufacturer´s instructions. Relative quantification and calculation of the range of confidence was performed using the comparative CT method (1).</w:t>
      </w:r>
    </w:p>
    <w:p w:rsidR="005F172C" w:rsidRPr="001A09CB" w:rsidRDefault="005F172C" w:rsidP="005F172C">
      <w:pPr>
        <w:spacing w:line="480" w:lineRule="auto"/>
        <w:jc w:val="both"/>
        <w:outlineLvl w:val="0"/>
        <w:rPr>
          <w:rFonts w:ascii="Calibri" w:hAnsi="Calibri" w:cs="Calibri"/>
          <w:i/>
          <w:lang w:val="en-US"/>
        </w:rPr>
      </w:pPr>
      <w:r w:rsidRPr="001A09CB">
        <w:rPr>
          <w:rFonts w:ascii="Calibri" w:hAnsi="Calibri" w:cs="Calibri"/>
          <w:i/>
          <w:lang w:val="en-US"/>
        </w:rPr>
        <w:t>Statistics</w:t>
      </w:r>
    </w:p>
    <w:p w:rsidR="005F172C" w:rsidRPr="001A09CB" w:rsidRDefault="005F172C" w:rsidP="005F172C">
      <w:pPr>
        <w:spacing w:line="480" w:lineRule="auto"/>
        <w:jc w:val="both"/>
        <w:rPr>
          <w:rFonts w:ascii="Calibri" w:hAnsi="Calibri" w:cs="Calibri"/>
          <w:lang w:val="en-US"/>
        </w:rPr>
      </w:pPr>
      <w:r w:rsidRPr="001A09CB">
        <w:rPr>
          <w:rFonts w:ascii="Calibri" w:hAnsi="Calibri" w:cs="Calibri"/>
          <w:lang w:val="en-US"/>
        </w:rPr>
        <w:t xml:space="preserve">Student´s t-test was used to compare the data of patients with AD to those from healthy donors. The statistical analysis was performed using Graph Pad Prism software 5.01. Data are presented as mean ± SEM, and </w:t>
      </w:r>
      <w:r w:rsidRPr="001A09CB">
        <w:rPr>
          <w:rFonts w:ascii="Calibri" w:hAnsi="Calibri" w:cs="Calibri"/>
          <w:i/>
          <w:lang w:val="en-US"/>
        </w:rPr>
        <w:t>P</w:t>
      </w:r>
      <w:r w:rsidRPr="001A09CB">
        <w:rPr>
          <w:rFonts w:ascii="Calibri" w:hAnsi="Calibri" w:cs="Calibri"/>
          <w:lang w:val="en-US"/>
        </w:rPr>
        <w:t xml:space="preserve"> values less than 0.05 was considered statistically significant.</w:t>
      </w:r>
    </w:p>
    <w:p w:rsidR="005F172C" w:rsidRPr="001A09CB" w:rsidRDefault="005F172C" w:rsidP="005F172C">
      <w:pPr>
        <w:spacing w:line="480" w:lineRule="auto"/>
        <w:jc w:val="both"/>
        <w:rPr>
          <w:rFonts w:ascii="Calibri" w:hAnsi="Calibri" w:cs="Calibri"/>
          <w:lang w:val="en-US"/>
        </w:rPr>
      </w:pPr>
    </w:p>
    <w:p w:rsidR="005F172C" w:rsidRPr="001A09CB" w:rsidRDefault="00782F61" w:rsidP="005F172C">
      <w:pPr>
        <w:spacing w:line="480" w:lineRule="auto"/>
        <w:jc w:val="both"/>
        <w:rPr>
          <w:rFonts w:ascii="Calibri" w:hAnsi="Calibri" w:cs="Calibri"/>
          <w:lang w:val="en-US"/>
        </w:rPr>
      </w:pPr>
      <w:r w:rsidRPr="001A09CB">
        <w:rPr>
          <w:rFonts w:ascii="Calibri" w:hAnsi="Calibri" w:cs="Calibri"/>
          <w:lang w:val="en-US"/>
        </w:rPr>
        <w:lastRenderedPageBreak/>
        <w:t>Literature</w:t>
      </w:r>
    </w:p>
    <w:p w:rsidR="005F172C" w:rsidRPr="001A09CB" w:rsidRDefault="005F172C" w:rsidP="005F172C">
      <w:pPr>
        <w:pStyle w:val="Prrafodelista"/>
        <w:numPr>
          <w:ilvl w:val="0"/>
          <w:numId w:val="1"/>
        </w:numPr>
        <w:spacing w:line="480" w:lineRule="auto"/>
        <w:jc w:val="both"/>
        <w:rPr>
          <w:rFonts w:ascii="Calibri" w:hAnsi="Calibri" w:cs="Calibri"/>
          <w:lang w:val="en-US"/>
        </w:rPr>
      </w:pPr>
      <w:r w:rsidRPr="001A09CB">
        <w:rPr>
          <w:rFonts w:ascii="Calibri" w:hAnsi="Calibri" w:cs="Calibri"/>
          <w:noProof/>
          <w:szCs w:val="24"/>
          <w:lang w:val="en-US"/>
        </w:rPr>
        <w:t xml:space="preserve">Schmittgen T, Livak K. Analyzing real-time PCR data by the comparative C(T) method. </w:t>
      </w:r>
      <w:r w:rsidRPr="001A09CB">
        <w:rPr>
          <w:rFonts w:ascii="Calibri" w:hAnsi="Calibri" w:cs="Calibri"/>
          <w:i/>
          <w:iCs/>
          <w:noProof/>
          <w:szCs w:val="24"/>
          <w:lang w:val="en-US"/>
        </w:rPr>
        <w:t>Nat Protoc</w:t>
      </w:r>
      <w:r w:rsidRPr="001A09CB">
        <w:rPr>
          <w:rFonts w:ascii="Calibri" w:hAnsi="Calibri" w:cs="Calibri"/>
          <w:noProof/>
          <w:szCs w:val="24"/>
          <w:lang w:val="en-US"/>
        </w:rPr>
        <w:t xml:space="preserve"> 2008;</w:t>
      </w:r>
      <w:r w:rsidRPr="001A09CB">
        <w:rPr>
          <w:rFonts w:ascii="Calibri" w:hAnsi="Calibri" w:cs="Calibri"/>
          <w:b/>
          <w:bCs/>
          <w:noProof/>
          <w:szCs w:val="24"/>
          <w:lang w:val="en-US"/>
        </w:rPr>
        <w:t>3</w:t>
      </w:r>
      <w:r w:rsidRPr="001A09CB">
        <w:rPr>
          <w:rFonts w:ascii="Calibri" w:hAnsi="Calibri" w:cs="Calibri"/>
          <w:noProof/>
          <w:szCs w:val="24"/>
          <w:lang w:val="en-US"/>
        </w:rPr>
        <w:t>:1101–1108.</w:t>
      </w:r>
      <w:r w:rsidRPr="001A09CB">
        <w:rPr>
          <w:rFonts w:ascii="Calibri" w:hAnsi="Calibri" w:cs="Calibri"/>
          <w:lang w:val="en-US"/>
        </w:rPr>
        <w:t xml:space="preserve"> </w:t>
      </w:r>
    </w:p>
    <w:p w:rsidR="005F172C" w:rsidRPr="001A09CB" w:rsidRDefault="005F172C" w:rsidP="00C56037">
      <w:pPr>
        <w:spacing w:line="480" w:lineRule="auto"/>
        <w:jc w:val="both"/>
        <w:outlineLvl w:val="0"/>
        <w:rPr>
          <w:rFonts w:ascii="Calibri" w:hAnsi="Calibri" w:cs="Calibri"/>
          <w:lang w:val="en-US"/>
        </w:rPr>
      </w:pPr>
    </w:p>
    <w:p w:rsidR="005F172C" w:rsidRPr="001A09CB" w:rsidRDefault="005F172C" w:rsidP="00C56037">
      <w:pPr>
        <w:spacing w:line="480" w:lineRule="auto"/>
        <w:jc w:val="both"/>
        <w:outlineLvl w:val="0"/>
        <w:rPr>
          <w:rFonts w:ascii="Calibri" w:hAnsi="Calibri" w:cs="Calibri"/>
          <w:lang w:val="en-US"/>
        </w:rPr>
      </w:pPr>
    </w:p>
    <w:p w:rsidR="00C56037" w:rsidRPr="001A09CB" w:rsidRDefault="00C56037" w:rsidP="006C3480">
      <w:pPr>
        <w:spacing w:line="480" w:lineRule="auto"/>
        <w:jc w:val="both"/>
        <w:outlineLvl w:val="0"/>
        <w:rPr>
          <w:rFonts w:ascii="Calibri" w:hAnsi="Calibri" w:cs="Calibri"/>
          <w:lang w:val="en-US"/>
        </w:rPr>
      </w:pPr>
    </w:p>
    <w:p w:rsidR="00C56037" w:rsidRPr="001A09CB" w:rsidRDefault="00C56037" w:rsidP="006C3480">
      <w:pPr>
        <w:spacing w:line="480" w:lineRule="auto"/>
        <w:jc w:val="both"/>
        <w:outlineLvl w:val="0"/>
        <w:rPr>
          <w:rFonts w:ascii="Calibri" w:hAnsi="Calibri" w:cs="Calibri"/>
          <w:lang w:val="en-US"/>
        </w:rPr>
      </w:pPr>
    </w:p>
    <w:p w:rsidR="00C56037" w:rsidRPr="001A09CB" w:rsidRDefault="00C56037" w:rsidP="006C3480">
      <w:pPr>
        <w:spacing w:line="480" w:lineRule="auto"/>
        <w:jc w:val="both"/>
        <w:outlineLvl w:val="0"/>
        <w:rPr>
          <w:rFonts w:ascii="Calibri" w:hAnsi="Calibri" w:cs="Calibri"/>
          <w:lang w:val="en-US"/>
        </w:rPr>
      </w:pPr>
    </w:p>
    <w:p w:rsidR="00C56037" w:rsidRPr="001A09CB" w:rsidRDefault="00C56037" w:rsidP="006C3480">
      <w:pPr>
        <w:spacing w:line="480" w:lineRule="auto"/>
        <w:jc w:val="both"/>
        <w:outlineLvl w:val="0"/>
        <w:rPr>
          <w:rFonts w:ascii="Calibri" w:hAnsi="Calibri" w:cs="Calibri"/>
          <w:lang w:val="en-US"/>
        </w:rPr>
      </w:pPr>
    </w:p>
    <w:p w:rsidR="00C56037" w:rsidRPr="001A09CB" w:rsidRDefault="00C56037" w:rsidP="006C3480">
      <w:pPr>
        <w:spacing w:line="480" w:lineRule="auto"/>
        <w:jc w:val="both"/>
        <w:outlineLvl w:val="0"/>
        <w:rPr>
          <w:rFonts w:ascii="Calibri" w:hAnsi="Calibri" w:cs="Calibri"/>
          <w:lang w:val="en-US"/>
        </w:rPr>
      </w:pPr>
    </w:p>
    <w:p w:rsidR="006C3480" w:rsidRPr="001A09CB" w:rsidRDefault="006C3480">
      <w:pPr>
        <w:rPr>
          <w:rFonts w:ascii="Calibri" w:hAnsi="Calibri" w:cs="Calibri"/>
          <w:lang w:val="en-US"/>
        </w:rPr>
      </w:pPr>
    </w:p>
    <w:sectPr w:rsidR="006C3480" w:rsidRPr="001A09CB" w:rsidSect="005D79A3">
      <w:footerReference w:type="even" r:id="rId9"/>
      <w:footerReference w:type="default" r:id="rId10"/>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89B" w:rsidRDefault="008E089B" w:rsidP="005F172C">
      <w:pPr>
        <w:spacing w:after="0" w:line="240" w:lineRule="auto"/>
      </w:pPr>
      <w:r>
        <w:separator/>
      </w:r>
    </w:p>
  </w:endnote>
  <w:endnote w:type="continuationSeparator" w:id="0">
    <w:p w:rsidR="008E089B" w:rsidRDefault="008E089B" w:rsidP="005F1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563140462"/>
      <w:docPartObj>
        <w:docPartGallery w:val="Page Numbers (Bottom of Page)"/>
        <w:docPartUnique/>
      </w:docPartObj>
    </w:sdtPr>
    <w:sdtEndPr>
      <w:rPr>
        <w:rStyle w:val="Nmerodepgina"/>
      </w:rPr>
    </w:sdtEndPr>
    <w:sdtContent>
      <w:p w:rsidR="005F172C" w:rsidRDefault="005F172C" w:rsidP="00BE689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5F172C" w:rsidRDefault="005F17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3608728"/>
      <w:docPartObj>
        <w:docPartGallery w:val="Page Numbers (Bottom of Page)"/>
        <w:docPartUnique/>
      </w:docPartObj>
    </w:sdtPr>
    <w:sdtEndPr>
      <w:rPr>
        <w:rStyle w:val="Nmerodepgina"/>
      </w:rPr>
    </w:sdtEndPr>
    <w:sdtContent>
      <w:p w:rsidR="005F172C" w:rsidRDefault="005F172C" w:rsidP="00BE689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5F172C" w:rsidRDefault="005F17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89B" w:rsidRDefault="008E089B" w:rsidP="005F172C">
      <w:pPr>
        <w:spacing w:after="0" w:line="240" w:lineRule="auto"/>
      </w:pPr>
      <w:r>
        <w:separator/>
      </w:r>
    </w:p>
  </w:footnote>
  <w:footnote w:type="continuationSeparator" w:id="0">
    <w:p w:rsidR="008E089B" w:rsidRDefault="008E089B" w:rsidP="005F1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E0979"/>
    <w:multiLevelType w:val="hybridMultilevel"/>
    <w:tmpl w:val="C68693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3480"/>
    <w:rsid w:val="00023F1F"/>
    <w:rsid w:val="00131031"/>
    <w:rsid w:val="00156A65"/>
    <w:rsid w:val="001A09CB"/>
    <w:rsid w:val="00421B57"/>
    <w:rsid w:val="004C4D3B"/>
    <w:rsid w:val="005D79A3"/>
    <w:rsid w:val="005F172C"/>
    <w:rsid w:val="006C3480"/>
    <w:rsid w:val="0071519C"/>
    <w:rsid w:val="00782F61"/>
    <w:rsid w:val="00786FD4"/>
    <w:rsid w:val="008E089B"/>
    <w:rsid w:val="00A67481"/>
    <w:rsid w:val="00A75D67"/>
    <w:rsid w:val="00AB7F21"/>
    <w:rsid w:val="00C56037"/>
    <w:rsid w:val="00C97E3C"/>
    <w:rsid w:val="00CF6B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2828B3-67B8-0343-AD77-F611E485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C34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3480"/>
    <w:rPr>
      <w:rFonts w:ascii="Tahoma" w:hAnsi="Tahoma" w:cs="Tahoma"/>
      <w:sz w:val="16"/>
      <w:szCs w:val="16"/>
    </w:rPr>
  </w:style>
  <w:style w:type="paragraph" w:styleId="Piedepgina">
    <w:name w:val="footer"/>
    <w:basedOn w:val="Normal"/>
    <w:link w:val="PiedepginaCar"/>
    <w:uiPriority w:val="99"/>
    <w:unhideWhenUsed/>
    <w:rsid w:val="005F17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172C"/>
  </w:style>
  <w:style w:type="character" w:styleId="Nmerodepgina">
    <w:name w:val="page number"/>
    <w:basedOn w:val="Fuentedeprrafopredeter"/>
    <w:uiPriority w:val="99"/>
    <w:semiHidden/>
    <w:unhideWhenUsed/>
    <w:rsid w:val="005F172C"/>
  </w:style>
  <w:style w:type="paragraph" w:styleId="Prrafodelista">
    <w:name w:val="List Paragraph"/>
    <w:basedOn w:val="Normal"/>
    <w:uiPriority w:val="34"/>
    <w:qFormat/>
    <w:rsid w:val="005F172C"/>
    <w:pPr>
      <w:ind w:left="720"/>
      <w:contextualSpacing/>
    </w:pPr>
  </w:style>
  <w:style w:type="table" w:styleId="Tablaconcuadrculaclara">
    <w:name w:val="Grid Table Light"/>
    <w:basedOn w:val="Tablanormal"/>
    <w:uiPriority w:val="40"/>
    <w:rsid w:val="004C4D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4C4D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4C4D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4C4D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59"/>
    <w:rsid w:val="004C4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4D3B"/>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styleId="Nmerodelnea">
    <w:name w:val="line number"/>
    <w:basedOn w:val="Fuentedeprrafopredeter"/>
    <w:uiPriority w:val="99"/>
    <w:semiHidden/>
    <w:unhideWhenUsed/>
    <w:rsid w:val="005D7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471417">
      <w:bodyDiv w:val="1"/>
      <w:marLeft w:val="0"/>
      <w:marRight w:val="0"/>
      <w:marTop w:val="0"/>
      <w:marBottom w:val="0"/>
      <w:divBdr>
        <w:top w:val="none" w:sz="0" w:space="0" w:color="auto"/>
        <w:left w:val="none" w:sz="0" w:space="0" w:color="auto"/>
        <w:bottom w:val="none" w:sz="0" w:space="0" w:color="auto"/>
        <w:right w:val="none" w:sz="0" w:space="0" w:color="auto"/>
      </w:divBdr>
    </w:div>
    <w:div w:id="181983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1176</Words>
  <Characters>6470</Characters>
  <Application>Microsoft Office Word</Application>
  <DocSecurity>0</DocSecurity>
  <Lines>53</Lines>
  <Paragraphs>15</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Dermatologie, Allergologie</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Eva-Maria</dc:creator>
  <cp:lastModifiedBy>Microsoft Office User</cp:lastModifiedBy>
  <cp:revision>12</cp:revision>
  <dcterms:created xsi:type="dcterms:W3CDTF">2018-12-19T09:53:00Z</dcterms:created>
  <dcterms:modified xsi:type="dcterms:W3CDTF">2020-01-29T15:16:00Z</dcterms:modified>
</cp:coreProperties>
</file>