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232B" w14:textId="12A9D4BB" w:rsidR="008A5DE8" w:rsidRPr="00810C71" w:rsidRDefault="00A740D2" w:rsidP="00810C71">
      <w:pPr>
        <w:spacing w:line="480" w:lineRule="auto"/>
        <w:rPr>
          <w:rFonts w:ascii="Times New Roman" w:hAnsi="Times New Roman" w:cs="Times New Roman"/>
          <w:sz w:val="24"/>
          <w:szCs w:val="24"/>
        </w:rPr>
      </w:pPr>
      <w:r w:rsidRPr="00810C71">
        <w:rPr>
          <w:rFonts w:ascii="Times New Roman" w:hAnsi="Times New Roman" w:cs="Times New Roman"/>
          <w:b/>
          <w:sz w:val="24"/>
          <w:szCs w:val="24"/>
        </w:rPr>
        <w:t>Supplementary Material</w:t>
      </w:r>
    </w:p>
    <w:p w14:paraId="3AFA1853" w14:textId="19A48E90" w:rsidR="00DD4B56" w:rsidRPr="00810C71" w:rsidRDefault="00DC78DC" w:rsidP="00810C71">
      <w:pPr>
        <w:spacing w:line="480" w:lineRule="auto"/>
        <w:outlineLvl w:val="0"/>
        <w:rPr>
          <w:rFonts w:ascii="Times New Roman" w:hAnsi="Times New Roman" w:cs="Times New Roman"/>
          <w:b/>
          <w:sz w:val="24"/>
          <w:szCs w:val="24"/>
        </w:rPr>
      </w:pPr>
      <w:r w:rsidRPr="00810C71">
        <w:rPr>
          <w:rFonts w:ascii="Times New Roman" w:hAnsi="Times New Roman" w:cs="Times New Roman"/>
          <w:b/>
          <w:sz w:val="24"/>
          <w:szCs w:val="24"/>
        </w:rPr>
        <w:t>Table S1</w:t>
      </w:r>
      <w:r w:rsidR="00A740D2" w:rsidRPr="00810C71">
        <w:rPr>
          <w:rFonts w:ascii="Times New Roman" w:hAnsi="Times New Roman" w:cs="Times New Roman"/>
          <w:b/>
          <w:sz w:val="24"/>
          <w:szCs w:val="24"/>
        </w:rPr>
        <w:t xml:space="preserve">: Sample </w:t>
      </w:r>
      <w:r w:rsidR="005B5B58" w:rsidRPr="00810C71">
        <w:rPr>
          <w:rFonts w:ascii="Times New Roman" w:hAnsi="Times New Roman" w:cs="Times New Roman"/>
          <w:b/>
          <w:sz w:val="24"/>
          <w:szCs w:val="24"/>
        </w:rPr>
        <w:t>search</w:t>
      </w:r>
      <w:r w:rsidR="00A740D2" w:rsidRPr="00810C71">
        <w:rPr>
          <w:rFonts w:ascii="Times New Roman" w:hAnsi="Times New Roman" w:cs="Times New Roman"/>
          <w:b/>
          <w:sz w:val="24"/>
          <w:szCs w:val="24"/>
        </w:rPr>
        <w:t xml:space="preserve"> strategy: Pubmed. </w:t>
      </w:r>
    </w:p>
    <w:tbl>
      <w:tblPr>
        <w:tblStyle w:val="TableGrid"/>
        <w:tblW w:w="0" w:type="auto"/>
        <w:tblLook w:val="04A0" w:firstRow="1" w:lastRow="0" w:firstColumn="1" w:lastColumn="0" w:noHBand="0" w:noVBand="1"/>
      </w:tblPr>
      <w:tblGrid>
        <w:gridCol w:w="552"/>
        <w:gridCol w:w="8690"/>
      </w:tblGrid>
      <w:tr w:rsidR="00DD4B56" w:rsidRPr="00810C71" w14:paraId="1B627DB3" w14:textId="77777777" w:rsidTr="008C42FF">
        <w:tc>
          <w:tcPr>
            <w:tcW w:w="558" w:type="dxa"/>
          </w:tcPr>
          <w:p w14:paraId="2783E91E"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#1</w:t>
            </w:r>
          </w:p>
        </w:tc>
        <w:tc>
          <w:tcPr>
            <w:tcW w:w="9018" w:type="dxa"/>
          </w:tcPr>
          <w:p w14:paraId="0A92E9E3"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 "Markov Chains"[Mesh] OR "Cost-Benefit Analysis"[Mesh]</w:t>
            </w:r>
            <w:r w:rsidRPr="00810C71">
              <w:rPr>
                <w:rFonts w:ascii="Times New Roman" w:hAnsi="Times New Roman" w:cs="Times New Roman"/>
                <w:b/>
                <w:bCs/>
                <w:sz w:val="24"/>
                <w:szCs w:val="24"/>
              </w:rPr>
              <w:t> </w:t>
            </w:r>
            <w:r w:rsidRPr="00810C71">
              <w:rPr>
                <w:rFonts w:ascii="Times New Roman" w:hAnsi="Times New Roman" w:cs="Times New Roman"/>
                <w:bCs/>
                <w:sz w:val="24"/>
                <w:szCs w:val="24"/>
              </w:rPr>
              <w:t>OR</w:t>
            </w:r>
          </w:p>
          <w:p w14:paraId="41234F9B" w14:textId="77777777" w:rsidR="00DD4B56" w:rsidRPr="00810C71" w:rsidRDefault="00DD4B56" w:rsidP="00D27CE5">
            <w:pPr>
              <w:spacing w:line="360" w:lineRule="auto"/>
              <w:rPr>
                <w:rFonts w:ascii="Times New Roman" w:hAnsi="Times New Roman" w:cs="Times New Roman"/>
                <w:bCs/>
                <w:sz w:val="24"/>
                <w:szCs w:val="24"/>
              </w:rPr>
            </w:pPr>
          </w:p>
          <w:p w14:paraId="02B1B23F"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 xml:space="preserve">decision model*[Title/Abstract] OR decision-analytic model*[Title/Abstract] OR decision analysis*[Title/Abstract] OR epidemiological model*[Title/Abstract] OR economic model*[Title/Abstract] OR </w:t>
            </w:r>
          </w:p>
          <w:p w14:paraId="760FD28E" w14:textId="77777777" w:rsidR="00DD4B56" w:rsidRPr="00810C71" w:rsidRDefault="00DD4B56" w:rsidP="00D27CE5">
            <w:pPr>
              <w:spacing w:line="360" w:lineRule="auto"/>
              <w:rPr>
                <w:rFonts w:ascii="Times New Roman" w:hAnsi="Times New Roman" w:cs="Times New Roman"/>
                <w:bCs/>
                <w:sz w:val="24"/>
                <w:szCs w:val="24"/>
              </w:rPr>
            </w:pPr>
          </w:p>
          <w:p w14:paraId="580D9037"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state-transition[Title/Abstract] OR cohort model[Title/Abstract]OR decision tree[Title/Abstract] OR agent-based model*[Title/Abstract] OR microsimulation[Title/Abstract] OR micro-simulation[Title/Abstract] OR discrete event simulation[Title/Abstract] OR discrete-event simulation[Title/Abstract] OR markov[Title/Abstract])</w:t>
            </w:r>
          </w:p>
        </w:tc>
      </w:tr>
      <w:tr w:rsidR="00DD4B56" w:rsidRPr="00810C71" w14:paraId="6D56CDE8" w14:textId="77777777" w:rsidTr="008C42FF">
        <w:tc>
          <w:tcPr>
            <w:tcW w:w="558" w:type="dxa"/>
          </w:tcPr>
          <w:p w14:paraId="2C7D0F33"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#2</w:t>
            </w:r>
          </w:p>
        </w:tc>
        <w:tc>
          <w:tcPr>
            <w:tcW w:w="9018" w:type="dxa"/>
          </w:tcPr>
          <w:p w14:paraId="54BCE2D4" w14:textId="3B41E4C4" w:rsidR="00DD4B56" w:rsidRPr="00810C71" w:rsidRDefault="00A740D2" w:rsidP="00D27CE5">
            <w:pPr>
              <w:pStyle w:val="CommentText"/>
              <w:spacing w:line="360" w:lineRule="auto"/>
              <w:rPr>
                <w:rFonts w:ascii="Times New Roman" w:hAnsi="Times New Roman" w:cs="Times New Roman"/>
                <w:sz w:val="24"/>
                <w:szCs w:val="24"/>
              </w:rPr>
            </w:pPr>
            <w:r w:rsidRPr="00810C71">
              <w:rPr>
                <w:rFonts w:ascii="Times New Roman" w:hAnsi="Times New Roman" w:cs="Times New Roman"/>
                <w:bCs/>
                <w:color w:val="000000"/>
                <w:sz w:val="24"/>
                <w:szCs w:val="24"/>
                <w:shd w:val="clear" w:color="auto" w:fill="FFFFFF"/>
              </w:rPr>
              <w:t>S</w:t>
            </w:r>
            <w:r w:rsidR="00DD4B56" w:rsidRPr="00810C71">
              <w:rPr>
                <w:rFonts w:ascii="Times New Roman" w:hAnsi="Times New Roman" w:cs="Times New Roman"/>
                <w:bCs/>
                <w:color w:val="000000"/>
                <w:sz w:val="24"/>
                <w:szCs w:val="24"/>
                <w:shd w:val="clear" w:color="auto" w:fill="FFFFFF"/>
              </w:rPr>
              <w:t>troke</w:t>
            </w:r>
            <w:r w:rsidRPr="00810C71">
              <w:rPr>
                <w:rFonts w:ascii="Times New Roman" w:hAnsi="Times New Roman" w:cs="Times New Roman"/>
                <w:bCs/>
                <w:color w:val="000000"/>
                <w:sz w:val="24"/>
                <w:szCs w:val="24"/>
                <w:shd w:val="clear" w:color="auto" w:fill="FFFFFF"/>
              </w:rPr>
              <w:t xml:space="preserve"> </w:t>
            </w:r>
            <w:r w:rsidR="00DD4B56" w:rsidRPr="00810C71">
              <w:rPr>
                <w:rFonts w:ascii="Times New Roman" w:hAnsi="Times New Roman" w:cs="Times New Roman"/>
                <w:bCs/>
                <w:color w:val="000000"/>
                <w:sz w:val="24"/>
                <w:szCs w:val="24"/>
                <w:shd w:val="clear" w:color="auto" w:fill="FFFFFF"/>
              </w:rPr>
              <w:t>[Title/Abstract] OR cerebrovascular[Title/Abstract] OR poststroke[Title/Abstract] OR cerebral ischaemia</w:t>
            </w:r>
            <w:r w:rsidRPr="00810C71">
              <w:rPr>
                <w:rFonts w:ascii="Times New Roman" w:hAnsi="Times New Roman" w:cs="Times New Roman"/>
                <w:bCs/>
                <w:color w:val="000000"/>
                <w:sz w:val="24"/>
                <w:szCs w:val="24"/>
                <w:shd w:val="clear" w:color="auto" w:fill="FFFFFF"/>
              </w:rPr>
              <w:t xml:space="preserve"> </w:t>
            </w:r>
            <w:r w:rsidR="00DD4B56" w:rsidRPr="00810C71">
              <w:rPr>
                <w:rFonts w:ascii="Times New Roman" w:hAnsi="Times New Roman" w:cs="Times New Roman"/>
                <w:bCs/>
                <w:color w:val="000000"/>
                <w:sz w:val="24"/>
                <w:szCs w:val="24"/>
                <w:shd w:val="clear" w:color="auto" w:fill="FFFFFF"/>
              </w:rPr>
              <w:t>[Title/Abstract] OR brain ischaemia[Title/Abstract] OR cerebral ischemia[Title/Abstract] OR brain ischemia</w:t>
            </w:r>
            <w:r w:rsidRPr="00810C71">
              <w:rPr>
                <w:rFonts w:ascii="Times New Roman" w:hAnsi="Times New Roman" w:cs="Times New Roman"/>
                <w:bCs/>
                <w:color w:val="000000"/>
                <w:sz w:val="24"/>
                <w:szCs w:val="24"/>
                <w:shd w:val="clear" w:color="auto" w:fill="FFFFFF"/>
              </w:rPr>
              <w:t xml:space="preserve"> </w:t>
            </w:r>
            <w:r w:rsidR="00DD4B56" w:rsidRPr="00810C71">
              <w:rPr>
                <w:rFonts w:ascii="Times New Roman" w:hAnsi="Times New Roman" w:cs="Times New Roman"/>
                <w:bCs/>
                <w:color w:val="000000"/>
                <w:sz w:val="24"/>
                <w:szCs w:val="24"/>
                <w:shd w:val="clear" w:color="auto" w:fill="FFFFFF"/>
              </w:rPr>
              <w:t>[Title/Abstract] OR ischemic attack[Title/Abstract] OR ischemic event[Title/Abstract] OR ischaemic attack[Title/Abstract] OR ischaemic event[Title/Abstract] OR cerebral infarct*[Title/Abstract] OR brain infarct*[Title/Abstract] OR cerebral vascular accident[Title/Abstract]</w:t>
            </w:r>
          </w:p>
        </w:tc>
      </w:tr>
      <w:tr w:rsidR="00DD4B56" w:rsidRPr="00810C71" w14:paraId="7891D8B9" w14:textId="77777777" w:rsidTr="008C42FF">
        <w:tc>
          <w:tcPr>
            <w:tcW w:w="558" w:type="dxa"/>
          </w:tcPr>
          <w:p w14:paraId="362636E4"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#3</w:t>
            </w:r>
          </w:p>
        </w:tc>
        <w:tc>
          <w:tcPr>
            <w:tcW w:w="9018" w:type="dxa"/>
          </w:tcPr>
          <w:p w14:paraId="73149B2C" w14:textId="69F1F43D" w:rsidR="00DD4B56" w:rsidRPr="00810C71" w:rsidRDefault="00DD4B56" w:rsidP="00D27CE5">
            <w:pPr>
              <w:pStyle w:val="CommentText"/>
              <w:spacing w:line="360" w:lineRule="auto"/>
              <w:rPr>
                <w:rFonts w:ascii="Times New Roman" w:hAnsi="Times New Roman" w:cs="Times New Roman"/>
                <w:sz w:val="24"/>
                <w:szCs w:val="24"/>
              </w:rPr>
            </w:pPr>
            <w:r w:rsidRPr="00810C71">
              <w:rPr>
                <w:rFonts w:ascii="Times New Roman" w:hAnsi="Times New Roman" w:cs="Times New Roman"/>
                <w:bCs/>
                <w:sz w:val="24"/>
                <w:szCs w:val="24"/>
              </w:rPr>
              <w:t>Cerebrovascular Disorders</w:t>
            </w:r>
            <w:r w:rsidR="00A740D2" w:rsidRPr="00810C71">
              <w:rPr>
                <w:rFonts w:ascii="Times New Roman" w:hAnsi="Times New Roman" w:cs="Times New Roman"/>
                <w:bCs/>
                <w:sz w:val="24"/>
                <w:szCs w:val="24"/>
              </w:rPr>
              <w:t xml:space="preserve"> </w:t>
            </w:r>
            <w:r w:rsidRPr="00810C71">
              <w:rPr>
                <w:rFonts w:ascii="Times New Roman" w:hAnsi="Times New Roman" w:cs="Times New Roman"/>
                <w:bCs/>
                <w:sz w:val="24"/>
                <w:szCs w:val="24"/>
              </w:rPr>
              <w:t>[MeSH Terms]</w:t>
            </w:r>
          </w:p>
        </w:tc>
      </w:tr>
      <w:tr w:rsidR="00DD4B56" w:rsidRPr="00810C71" w14:paraId="7DAEA845" w14:textId="77777777" w:rsidTr="008C42FF">
        <w:tc>
          <w:tcPr>
            <w:tcW w:w="558" w:type="dxa"/>
          </w:tcPr>
          <w:p w14:paraId="0E342713"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#4</w:t>
            </w:r>
          </w:p>
        </w:tc>
        <w:tc>
          <w:tcPr>
            <w:tcW w:w="9018" w:type="dxa"/>
          </w:tcPr>
          <w:p w14:paraId="01CBACBE" w14:textId="77777777" w:rsidR="00DD4B56" w:rsidRPr="00810C71" w:rsidRDefault="00DD4B56" w:rsidP="00D27CE5">
            <w:pPr>
              <w:pStyle w:val="CommentText"/>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#2 OR #3</w:t>
            </w:r>
          </w:p>
        </w:tc>
      </w:tr>
      <w:tr w:rsidR="00DD4B56" w:rsidRPr="00810C71" w14:paraId="19480DCB" w14:textId="77777777" w:rsidTr="008C42FF">
        <w:tc>
          <w:tcPr>
            <w:tcW w:w="558" w:type="dxa"/>
          </w:tcPr>
          <w:p w14:paraId="307A6890"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#5</w:t>
            </w:r>
          </w:p>
        </w:tc>
        <w:tc>
          <w:tcPr>
            <w:tcW w:w="9018" w:type="dxa"/>
          </w:tcPr>
          <w:p w14:paraId="630A32B4" w14:textId="77777777" w:rsidR="00DD4B56" w:rsidRPr="00810C71" w:rsidRDefault="00DD4B56" w:rsidP="00D27CE5">
            <w:pPr>
              <w:spacing w:line="360" w:lineRule="auto"/>
              <w:rPr>
                <w:rFonts w:ascii="Times New Roman" w:hAnsi="Times New Roman" w:cs="Times New Roman"/>
                <w:sz w:val="24"/>
                <w:szCs w:val="24"/>
                <w:lang w:val="en-IE"/>
              </w:rPr>
            </w:pPr>
            <w:r w:rsidRPr="00810C71">
              <w:rPr>
                <w:rFonts w:ascii="Times New Roman" w:hAnsi="Times New Roman" w:cs="Times New Roman"/>
                <w:sz w:val="24"/>
                <w:szCs w:val="24"/>
                <w:lang w:val="en-IE"/>
              </w:rPr>
              <w:t>#1 AND #4</w:t>
            </w:r>
          </w:p>
        </w:tc>
      </w:tr>
      <w:tr w:rsidR="00DD4B56" w:rsidRPr="00810C71" w14:paraId="66ED8290" w14:textId="77777777" w:rsidTr="008C42FF">
        <w:tc>
          <w:tcPr>
            <w:tcW w:w="558" w:type="dxa"/>
          </w:tcPr>
          <w:p w14:paraId="7C45D585"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#6</w:t>
            </w:r>
          </w:p>
        </w:tc>
        <w:tc>
          <w:tcPr>
            <w:tcW w:w="9018" w:type="dxa"/>
          </w:tcPr>
          <w:p w14:paraId="1E1D5909" w14:textId="77777777" w:rsidR="00DD4B56" w:rsidRPr="00810C71" w:rsidRDefault="00DD4B56" w:rsidP="00D27CE5">
            <w:pPr>
              <w:spacing w:line="360" w:lineRule="auto"/>
              <w:rPr>
                <w:rFonts w:ascii="Times New Roman" w:hAnsi="Times New Roman" w:cs="Times New Roman"/>
                <w:sz w:val="24"/>
                <w:szCs w:val="24"/>
                <w:lang w:val="en-IE"/>
              </w:rPr>
            </w:pPr>
            <w:r w:rsidRPr="00810C71">
              <w:rPr>
                <w:rFonts w:ascii="Times New Roman" w:hAnsi="Times New Roman" w:cs="Times New Roman"/>
                <w:sz w:val="24"/>
                <w:szCs w:val="24"/>
                <w:lang w:val="en-IE"/>
              </w:rPr>
              <w:t xml:space="preserve">English[Language] AND </w:t>
            </w:r>
            <w:r w:rsidRPr="00810C71">
              <w:rPr>
                <w:rFonts w:ascii="Times New Roman" w:hAnsi="Times New Roman" w:cs="Times New Roman"/>
                <w:bCs/>
                <w:sz w:val="24"/>
                <w:szCs w:val="24"/>
              </w:rPr>
              <w:t>"2008/01/01"[Date - Publication] : "3000"[Date - Publication]</w:t>
            </w:r>
          </w:p>
        </w:tc>
      </w:tr>
      <w:tr w:rsidR="00DD4B56" w:rsidRPr="00810C71" w14:paraId="762B9524" w14:textId="77777777" w:rsidTr="008C42FF">
        <w:trPr>
          <w:trHeight w:val="323"/>
        </w:trPr>
        <w:tc>
          <w:tcPr>
            <w:tcW w:w="558" w:type="dxa"/>
          </w:tcPr>
          <w:p w14:paraId="40B6B56A"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#7</w:t>
            </w:r>
          </w:p>
        </w:tc>
        <w:tc>
          <w:tcPr>
            <w:tcW w:w="9018" w:type="dxa"/>
          </w:tcPr>
          <w:p w14:paraId="3C5A7AF3" w14:textId="77777777" w:rsidR="00DD4B56" w:rsidRPr="00810C71" w:rsidRDefault="00DD4B56" w:rsidP="00D27CE5">
            <w:pPr>
              <w:spacing w:line="360" w:lineRule="auto"/>
              <w:rPr>
                <w:rFonts w:ascii="Times New Roman" w:hAnsi="Times New Roman" w:cs="Times New Roman"/>
                <w:bCs/>
                <w:sz w:val="24"/>
                <w:szCs w:val="24"/>
              </w:rPr>
            </w:pPr>
            <w:r w:rsidRPr="00810C71">
              <w:rPr>
                <w:rFonts w:ascii="Times New Roman" w:hAnsi="Times New Roman" w:cs="Times New Roman"/>
                <w:bCs/>
                <w:sz w:val="24"/>
                <w:szCs w:val="24"/>
              </w:rPr>
              <w:t>#6 AND #7</w:t>
            </w:r>
          </w:p>
        </w:tc>
      </w:tr>
    </w:tbl>
    <w:p w14:paraId="01057041" w14:textId="77777777" w:rsidR="00DD4B56" w:rsidRPr="00810C71" w:rsidRDefault="00DD4B56" w:rsidP="00810C71">
      <w:pPr>
        <w:spacing w:line="480" w:lineRule="auto"/>
        <w:rPr>
          <w:rFonts w:ascii="Times New Roman" w:hAnsi="Times New Roman" w:cs="Times New Roman"/>
          <w:sz w:val="24"/>
          <w:szCs w:val="24"/>
        </w:rPr>
      </w:pPr>
    </w:p>
    <w:p w14:paraId="6712EAA4" w14:textId="77777777" w:rsidR="00D27CE5" w:rsidRDefault="00D27CE5">
      <w:pPr>
        <w:rPr>
          <w:rFonts w:ascii="Times New Roman" w:hAnsi="Times New Roman" w:cs="Times New Roman"/>
          <w:b/>
          <w:sz w:val="24"/>
          <w:szCs w:val="24"/>
        </w:rPr>
      </w:pPr>
      <w:r>
        <w:rPr>
          <w:rFonts w:ascii="Times New Roman" w:hAnsi="Times New Roman" w:cs="Times New Roman"/>
          <w:b/>
          <w:sz w:val="24"/>
          <w:szCs w:val="24"/>
        </w:rPr>
        <w:br w:type="page"/>
      </w:r>
    </w:p>
    <w:p w14:paraId="36A0AA3A" w14:textId="21702A49" w:rsidR="00DC78DC" w:rsidRPr="00810C71" w:rsidRDefault="00DC78DC" w:rsidP="00810C71">
      <w:pPr>
        <w:rPr>
          <w:rFonts w:ascii="Times New Roman" w:hAnsi="Times New Roman" w:cs="Times New Roman"/>
          <w:sz w:val="24"/>
          <w:szCs w:val="24"/>
        </w:rPr>
      </w:pPr>
      <w:r w:rsidRPr="00810C71">
        <w:rPr>
          <w:rFonts w:ascii="Times New Roman" w:hAnsi="Times New Roman" w:cs="Times New Roman"/>
          <w:b/>
          <w:sz w:val="24"/>
          <w:szCs w:val="24"/>
        </w:rPr>
        <w:lastRenderedPageBreak/>
        <w:t>Table S2: Standa</w:t>
      </w:r>
      <w:r w:rsidR="00A740D2" w:rsidRPr="00810C71">
        <w:rPr>
          <w:rFonts w:ascii="Times New Roman" w:hAnsi="Times New Roman" w:cs="Times New Roman"/>
          <w:b/>
          <w:sz w:val="24"/>
          <w:szCs w:val="24"/>
        </w:rPr>
        <w:t>rd template for data extraction</w:t>
      </w:r>
    </w:p>
    <w:tbl>
      <w:tblPr>
        <w:tblStyle w:val="TableGrid"/>
        <w:tblW w:w="0" w:type="auto"/>
        <w:tblLook w:val="04A0" w:firstRow="1" w:lastRow="0" w:firstColumn="1" w:lastColumn="0" w:noHBand="0" w:noVBand="1"/>
      </w:tblPr>
      <w:tblGrid>
        <w:gridCol w:w="2178"/>
        <w:gridCol w:w="7064"/>
      </w:tblGrid>
      <w:tr w:rsidR="00DC78DC" w:rsidRPr="00810C71" w14:paraId="28F14AEA" w14:textId="77777777" w:rsidTr="00126840">
        <w:tc>
          <w:tcPr>
            <w:tcW w:w="2178" w:type="dxa"/>
          </w:tcPr>
          <w:p w14:paraId="4CAF50F4" w14:textId="77777777" w:rsidR="00DC78DC" w:rsidRPr="00810C71" w:rsidRDefault="00DC78DC" w:rsidP="00D27CE5">
            <w:pPr>
              <w:spacing w:line="360" w:lineRule="auto"/>
              <w:rPr>
                <w:rFonts w:ascii="Times New Roman" w:hAnsi="Times New Roman" w:cs="Times New Roman"/>
                <w:sz w:val="24"/>
                <w:szCs w:val="24"/>
              </w:rPr>
            </w:pPr>
            <w:bookmarkStart w:id="0" w:name="_GoBack"/>
            <w:r w:rsidRPr="00810C71">
              <w:rPr>
                <w:rFonts w:ascii="Times New Roman" w:hAnsi="Times New Roman" w:cs="Times New Roman"/>
                <w:sz w:val="24"/>
                <w:szCs w:val="24"/>
              </w:rPr>
              <w:t>Data Item</w:t>
            </w:r>
          </w:p>
        </w:tc>
        <w:tc>
          <w:tcPr>
            <w:tcW w:w="7064" w:type="dxa"/>
          </w:tcPr>
          <w:p w14:paraId="7CC19154"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Description</w:t>
            </w:r>
          </w:p>
        </w:tc>
      </w:tr>
      <w:tr w:rsidR="00DC78DC" w:rsidRPr="00810C71" w14:paraId="3B57CB8D" w14:textId="77777777" w:rsidTr="00126840">
        <w:tc>
          <w:tcPr>
            <w:tcW w:w="2178" w:type="dxa"/>
          </w:tcPr>
          <w:p w14:paraId="4BD3AF2D"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Model purpose</w:t>
            </w:r>
          </w:p>
        </w:tc>
        <w:tc>
          <w:tcPr>
            <w:tcW w:w="7064" w:type="dxa"/>
          </w:tcPr>
          <w:p w14:paraId="12F425B8"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Problem that the model is designed to address, e.g. an empirical exploration of disease progression, or an economic evaluation of alternative treatment or diagnostic strategies</w:t>
            </w:r>
          </w:p>
        </w:tc>
      </w:tr>
      <w:tr w:rsidR="00DC78DC" w:rsidRPr="00810C71" w14:paraId="712E76F2" w14:textId="77777777" w:rsidTr="00126840">
        <w:tc>
          <w:tcPr>
            <w:tcW w:w="2178" w:type="dxa"/>
          </w:tcPr>
          <w:p w14:paraId="3228B38B"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Model Type</w:t>
            </w:r>
          </w:p>
        </w:tc>
        <w:tc>
          <w:tcPr>
            <w:tcW w:w="7064" w:type="dxa"/>
          </w:tcPr>
          <w:p w14:paraId="5E7CB4BC"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Individual (e.g. Discrete Event Simulation); Cohort (e.g. Markov or Decision Tree), Hybrid type, Other type [based on ISPOR guidelines)</w:t>
            </w:r>
          </w:p>
        </w:tc>
      </w:tr>
      <w:tr w:rsidR="00DC78DC" w:rsidRPr="00810C71" w14:paraId="2D835043" w14:textId="77777777" w:rsidTr="00126840">
        <w:tc>
          <w:tcPr>
            <w:tcW w:w="2178" w:type="dxa"/>
          </w:tcPr>
          <w:p w14:paraId="1E961C46"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 xml:space="preserve">Model structure </w:t>
            </w:r>
          </w:p>
          <w:p w14:paraId="7FC774BB" w14:textId="77777777" w:rsidR="00DC78DC" w:rsidRPr="00810C71" w:rsidRDefault="00DC78DC" w:rsidP="00D27CE5">
            <w:pPr>
              <w:spacing w:line="360" w:lineRule="auto"/>
              <w:rPr>
                <w:rFonts w:ascii="Times New Roman" w:hAnsi="Times New Roman" w:cs="Times New Roman"/>
                <w:sz w:val="24"/>
                <w:szCs w:val="24"/>
              </w:rPr>
            </w:pPr>
          </w:p>
        </w:tc>
        <w:tc>
          <w:tcPr>
            <w:tcW w:w="7064" w:type="dxa"/>
          </w:tcPr>
          <w:p w14:paraId="21D618D4"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Health states, events and other variables included in the model; including relationships between them, and definitions and measures used</w:t>
            </w:r>
          </w:p>
        </w:tc>
      </w:tr>
      <w:tr w:rsidR="00DC78DC" w:rsidRPr="00810C71" w14:paraId="0DDE740A" w14:textId="77777777" w:rsidTr="00126840">
        <w:tc>
          <w:tcPr>
            <w:tcW w:w="2178" w:type="dxa"/>
          </w:tcPr>
          <w:p w14:paraId="21AAEC9D"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Model inputs</w:t>
            </w:r>
          </w:p>
        </w:tc>
        <w:tc>
          <w:tcPr>
            <w:tcW w:w="7064" w:type="dxa"/>
          </w:tcPr>
          <w:p w14:paraId="35440772"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Sources of data for model parameters such as transition probabilities and baseline distributions</w:t>
            </w:r>
          </w:p>
        </w:tc>
      </w:tr>
      <w:tr w:rsidR="00DC78DC" w:rsidRPr="00810C71" w14:paraId="28DD660B" w14:textId="77777777" w:rsidTr="00126840">
        <w:tc>
          <w:tcPr>
            <w:tcW w:w="2178" w:type="dxa"/>
          </w:tcPr>
          <w:p w14:paraId="2A164C05"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Target population</w:t>
            </w:r>
          </w:p>
        </w:tc>
        <w:tc>
          <w:tcPr>
            <w:tcW w:w="7064" w:type="dxa"/>
          </w:tcPr>
          <w:p w14:paraId="346F31FC"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Patient characteristics, geography, disease stage</w:t>
            </w:r>
          </w:p>
        </w:tc>
      </w:tr>
      <w:tr w:rsidR="00DC78DC" w:rsidRPr="00810C71" w14:paraId="31EC7BC6" w14:textId="77777777" w:rsidTr="00126840">
        <w:tc>
          <w:tcPr>
            <w:tcW w:w="2178" w:type="dxa"/>
          </w:tcPr>
          <w:p w14:paraId="50A07123"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Health outcomes</w:t>
            </w:r>
          </w:p>
        </w:tc>
        <w:tc>
          <w:tcPr>
            <w:tcW w:w="7064" w:type="dxa"/>
          </w:tcPr>
          <w:p w14:paraId="36212DF2"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e.g. life years, quality-adjusted life years (QALYs) or disability-adjusted life years (DALYs)</w:t>
            </w:r>
          </w:p>
        </w:tc>
      </w:tr>
      <w:tr w:rsidR="00DC78DC" w:rsidRPr="00810C71" w14:paraId="569E52F4" w14:textId="77777777" w:rsidTr="00126840">
        <w:tc>
          <w:tcPr>
            <w:tcW w:w="2178" w:type="dxa"/>
          </w:tcPr>
          <w:p w14:paraId="5855331E"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Time horizon and cycle length</w:t>
            </w:r>
          </w:p>
        </w:tc>
        <w:tc>
          <w:tcPr>
            <w:tcW w:w="7064" w:type="dxa"/>
          </w:tcPr>
          <w:p w14:paraId="5796FE15"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 xml:space="preserve">The time span that the model covers (e.g. 10 years, lifetime) and the length of a model cycle – i.e., the period of time during which an event or transition can occur (e.g. 3 months, one year). </w:t>
            </w:r>
          </w:p>
        </w:tc>
      </w:tr>
      <w:tr w:rsidR="00DC78DC" w:rsidRPr="00810C71" w14:paraId="611ABB71" w14:textId="77777777" w:rsidTr="00126840">
        <w:tc>
          <w:tcPr>
            <w:tcW w:w="2178" w:type="dxa"/>
          </w:tcPr>
          <w:p w14:paraId="12E146FD"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Handling of uncertainty</w:t>
            </w:r>
          </w:p>
        </w:tc>
        <w:tc>
          <w:tcPr>
            <w:tcW w:w="7064" w:type="dxa"/>
          </w:tcPr>
          <w:p w14:paraId="676D2469"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Sensitivity analyses including one-way, two-way, probabilistic and scenario analyses</w:t>
            </w:r>
          </w:p>
        </w:tc>
      </w:tr>
      <w:tr w:rsidR="00DC78DC" w:rsidRPr="00810C71" w14:paraId="7BA86CC3" w14:textId="77777777" w:rsidTr="00126840">
        <w:tc>
          <w:tcPr>
            <w:tcW w:w="2178" w:type="dxa"/>
          </w:tcPr>
          <w:p w14:paraId="5995BC16"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Validation and transparency</w:t>
            </w:r>
          </w:p>
        </w:tc>
        <w:tc>
          <w:tcPr>
            <w:tcW w:w="7064" w:type="dxa"/>
          </w:tcPr>
          <w:p w14:paraId="605D7042"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Availability of documentation; process to establish face validity; comparisons with other published models; external validation (e.g. comparisons of results against published observed data).</w:t>
            </w:r>
          </w:p>
        </w:tc>
      </w:tr>
      <w:tr w:rsidR="00DC78DC" w:rsidRPr="00810C71" w14:paraId="775945D7" w14:textId="77777777" w:rsidTr="00126840">
        <w:tc>
          <w:tcPr>
            <w:tcW w:w="2178" w:type="dxa"/>
          </w:tcPr>
          <w:p w14:paraId="07617E69"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Context</w:t>
            </w:r>
          </w:p>
        </w:tc>
        <w:tc>
          <w:tcPr>
            <w:tcW w:w="7064" w:type="dxa"/>
          </w:tcPr>
          <w:p w14:paraId="423B4881" w14:textId="77777777" w:rsidR="00DC78DC" w:rsidRPr="00810C71" w:rsidRDefault="00DC78DC" w:rsidP="00D27CE5">
            <w:pPr>
              <w:spacing w:line="360" w:lineRule="auto"/>
              <w:rPr>
                <w:rFonts w:ascii="Times New Roman" w:hAnsi="Times New Roman" w:cs="Times New Roman"/>
                <w:sz w:val="24"/>
                <w:szCs w:val="24"/>
              </w:rPr>
            </w:pPr>
            <w:r w:rsidRPr="00810C71">
              <w:rPr>
                <w:rFonts w:ascii="Times New Roman" w:hAnsi="Times New Roman" w:cs="Times New Roman"/>
                <w:sz w:val="24"/>
                <w:szCs w:val="24"/>
              </w:rPr>
              <w:t xml:space="preserve">Relevant country or health system context for the model. </w:t>
            </w:r>
          </w:p>
        </w:tc>
      </w:tr>
      <w:bookmarkEnd w:id="0"/>
    </w:tbl>
    <w:p w14:paraId="3EDD2C25" w14:textId="244ABAD4" w:rsidR="00DF4EA2" w:rsidRPr="00810C71" w:rsidRDefault="00DF4EA2" w:rsidP="00810C71">
      <w:pPr>
        <w:spacing w:line="480" w:lineRule="auto"/>
        <w:rPr>
          <w:rFonts w:ascii="Times New Roman" w:hAnsi="Times New Roman" w:cs="Times New Roman"/>
          <w:sz w:val="24"/>
          <w:szCs w:val="24"/>
        </w:rPr>
      </w:pPr>
    </w:p>
    <w:p w14:paraId="61EE2730" w14:textId="77777777" w:rsidR="00DF4EA2" w:rsidRPr="00810C71" w:rsidRDefault="00DF4EA2" w:rsidP="00810C71">
      <w:pPr>
        <w:rPr>
          <w:rFonts w:ascii="Times New Roman" w:hAnsi="Times New Roman" w:cs="Times New Roman"/>
          <w:sz w:val="24"/>
          <w:szCs w:val="24"/>
        </w:rPr>
      </w:pPr>
      <w:r w:rsidRPr="00810C71">
        <w:rPr>
          <w:rFonts w:ascii="Times New Roman" w:hAnsi="Times New Roman" w:cs="Times New Roman"/>
          <w:sz w:val="24"/>
          <w:szCs w:val="24"/>
        </w:rPr>
        <w:br w:type="page"/>
      </w:r>
    </w:p>
    <w:p w14:paraId="4988E875" w14:textId="086243EB" w:rsidR="00144A12" w:rsidRPr="00810C71" w:rsidRDefault="00DF4EA2" w:rsidP="00810C71">
      <w:pPr>
        <w:spacing w:line="480" w:lineRule="auto"/>
        <w:rPr>
          <w:rFonts w:ascii="Times New Roman" w:hAnsi="Times New Roman" w:cs="Times New Roman"/>
          <w:sz w:val="24"/>
          <w:szCs w:val="24"/>
        </w:rPr>
      </w:pPr>
      <w:r w:rsidRPr="00810C71">
        <w:rPr>
          <w:rFonts w:ascii="Times New Roman" w:hAnsi="Times New Roman" w:cs="Times New Roman"/>
          <w:sz w:val="24"/>
          <w:szCs w:val="24"/>
        </w:rPr>
        <w:lastRenderedPageBreak/>
        <w:t>Full Reference List</w:t>
      </w:r>
    </w:p>
    <w:p w14:paraId="473F5146" w14:textId="631DC28B" w:rsidR="00875137" w:rsidRPr="00810C71" w:rsidRDefault="00875137" w:rsidP="00810C71">
      <w:pPr>
        <w:spacing w:line="480" w:lineRule="auto"/>
        <w:rPr>
          <w:rFonts w:ascii="Times New Roman" w:hAnsi="Times New Roman" w:cs="Times New Roman"/>
          <w:sz w:val="24"/>
          <w:szCs w:val="24"/>
        </w:rPr>
      </w:pPr>
      <w:r w:rsidRPr="00810C71">
        <w:rPr>
          <w:rFonts w:ascii="Times New Roman" w:hAnsi="Times New Roman" w:cs="Times New Roman"/>
          <w:b/>
          <w:sz w:val="24"/>
          <w:szCs w:val="24"/>
        </w:rPr>
        <w:t>Group 1 – Markov Disability and Recurrence (k=29)</w:t>
      </w:r>
    </w:p>
    <w:p w14:paraId="3D9CC3D0" w14:textId="5B552E48" w:rsidR="0064681E"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Aronsson M, Persson J, Blomstrand C, Wester P, Levin LA. Cost-effectiveness of endovascular thrombectomy in patients with acute ischemic stroke. </w:t>
      </w:r>
      <w:r w:rsidRPr="00810C71">
        <w:rPr>
          <w:rFonts w:ascii="Times New Roman" w:hAnsi="Times New Roman" w:cs="Times New Roman"/>
          <w:i/>
          <w:iCs/>
          <w:sz w:val="24"/>
          <w:szCs w:val="24"/>
        </w:rPr>
        <w:t>Neurology</w:t>
      </w:r>
      <w:r w:rsidRPr="00810C71">
        <w:rPr>
          <w:rFonts w:ascii="Times New Roman" w:hAnsi="Times New Roman" w:cs="Times New Roman"/>
          <w:sz w:val="24"/>
          <w:szCs w:val="24"/>
        </w:rPr>
        <w:t>. 2016;86(11):1053-1059. doi:10.1212/WNL.0000000000002439.</w:t>
      </w:r>
    </w:p>
    <w:p w14:paraId="6DDD5BDE" w14:textId="2AD833F8" w:rsidR="00DF4EA2"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Arora N, Makino K, Tilden D, Lobotesis K, Mitchell P, Gillespie J. Cost-effectiveness of mechanical thrombectomy for acute ischemic stroke: an Australian payer perspective. </w:t>
      </w:r>
      <w:r w:rsidRPr="00810C71">
        <w:rPr>
          <w:rFonts w:ascii="Times New Roman" w:hAnsi="Times New Roman" w:cs="Times New Roman"/>
          <w:i/>
          <w:iCs/>
          <w:sz w:val="24"/>
          <w:szCs w:val="24"/>
        </w:rPr>
        <w:t>J Med Econ</w:t>
      </w:r>
      <w:r w:rsidRPr="00810C71">
        <w:rPr>
          <w:rFonts w:ascii="Times New Roman" w:hAnsi="Times New Roman" w:cs="Times New Roman"/>
          <w:sz w:val="24"/>
          <w:szCs w:val="24"/>
        </w:rPr>
        <w:t>. 2018;21(8):799-809. doi:10.1080/13696998.2018.1474746.</w:t>
      </w:r>
    </w:p>
    <w:p w14:paraId="7CF32FE6" w14:textId="3EF65F87" w:rsidR="00DF4EA2"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Baeten S a, van Exel NJ a, Dirks M, Koopmanschap M a, Dippel DW, Niessen LW. Lifetime health effects and medical costs of integrated stroke services - a non-randomized controlled cluster-trial based life table approach. </w:t>
      </w:r>
      <w:r w:rsidRPr="00810C71">
        <w:rPr>
          <w:rFonts w:ascii="Times New Roman" w:hAnsi="Times New Roman" w:cs="Times New Roman"/>
          <w:i/>
          <w:iCs/>
          <w:sz w:val="24"/>
          <w:szCs w:val="24"/>
        </w:rPr>
        <w:t>Cost Eff Resour Alloc</w:t>
      </w:r>
      <w:r w:rsidRPr="00810C71">
        <w:rPr>
          <w:rFonts w:ascii="Times New Roman" w:hAnsi="Times New Roman" w:cs="Times New Roman"/>
          <w:sz w:val="24"/>
          <w:szCs w:val="24"/>
        </w:rPr>
        <w:t>. 2010;8(1):21. doi:10.1186/1478-7547-8-21.</w:t>
      </w:r>
    </w:p>
    <w:p w14:paraId="02C6C2D1" w14:textId="3CE8F284" w:rsidR="00DF4EA2"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Boudreau DM, Guzauskas G, Villa KF, Fagan SC, Veenstra DL. A model of cost-effectiveness of tissue plasminogen activator in patient subgroups 3 to 4.5 hours after onset of acute ischemic stroke. </w:t>
      </w:r>
      <w:r w:rsidRPr="00810C71">
        <w:rPr>
          <w:rFonts w:ascii="Times New Roman" w:hAnsi="Times New Roman" w:cs="Times New Roman"/>
          <w:i/>
          <w:iCs/>
          <w:sz w:val="24"/>
          <w:szCs w:val="24"/>
        </w:rPr>
        <w:t>Ann Emerg Med</w:t>
      </w:r>
      <w:r w:rsidRPr="00810C71">
        <w:rPr>
          <w:rFonts w:ascii="Times New Roman" w:hAnsi="Times New Roman" w:cs="Times New Roman"/>
          <w:sz w:val="24"/>
          <w:szCs w:val="24"/>
        </w:rPr>
        <w:t>. 2013;61(1):46-55. doi:10.1016/j.annemergmed.2012.04.020.</w:t>
      </w:r>
    </w:p>
    <w:p w14:paraId="66AE0454" w14:textId="2CB30F97" w:rsidR="00DF4EA2"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Boudreau DM, Guzauskas GF, Chen E, et al. Cost-effectiveness of recombinant tissue-type plasminogen activator within 3 hours of acute ischemic stroke: current evidence. </w:t>
      </w:r>
      <w:r w:rsidRPr="00810C71">
        <w:rPr>
          <w:rFonts w:ascii="Times New Roman" w:hAnsi="Times New Roman" w:cs="Times New Roman"/>
          <w:i/>
          <w:iCs/>
          <w:sz w:val="24"/>
          <w:szCs w:val="24"/>
        </w:rPr>
        <w:t>Stroke</w:t>
      </w:r>
      <w:r w:rsidRPr="00810C71">
        <w:rPr>
          <w:rFonts w:ascii="Times New Roman" w:hAnsi="Times New Roman" w:cs="Times New Roman"/>
          <w:sz w:val="24"/>
          <w:szCs w:val="24"/>
        </w:rPr>
        <w:t>. 2014;45(10):3032-3039. doi:10.1161/STROKEAHA.114.005852.</w:t>
      </w:r>
    </w:p>
    <w:p w14:paraId="2D935EB9" w14:textId="1C4B59BE" w:rsidR="00DF4EA2"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de Andrés-Nogales F, Álvarez M, de Miquel MÁ, et al. Cost-effectiveness of mechanical thrombectomy using stent retriever after intravenous tissue plasminogen activator compared with intravenous tissue plasminogen activator alone in the treatment of acute ischaemic stroke due to large vessel occlusion in Spa. </w:t>
      </w:r>
      <w:r w:rsidRPr="00810C71">
        <w:rPr>
          <w:rFonts w:ascii="Times New Roman" w:hAnsi="Times New Roman" w:cs="Times New Roman"/>
          <w:i/>
          <w:iCs/>
          <w:sz w:val="24"/>
          <w:szCs w:val="24"/>
        </w:rPr>
        <w:t>Eur Stroke J</w:t>
      </w:r>
      <w:r w:rsidRPr="00810C71">
        <w:rPr>
          <w:rFonts w:ascii="Times New Roman" w:hAnsi="Times New Roman" w:cs="Times New Roman"/>
          <w:sz w:val="24"/>
          <w:szCs w:val="24"/>
        </w:rPr>
        <w:t>. 2017;2(3):272-284. doi:10.1177/2396987317721865.</w:t>
      </w:r>
    </w:p>
    <w:p w14:paraId="441F955C" w14:textId="41287C31" w:rsidR="00DF4EA2"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lastRenderedPageBreak/>
        <w:t xml:space="preserve">Dirks M, Baeten SA, Dippel DWJ, et al. Real-life costs and effects of an implementation program to increase thrombolysis in stroke. </w:t>
      </w:r>
      <w:r w:rsidRPr="00810C71">
        <w:rPr>
          <w:rFonts w:ascii="Times New Roman" w:hAnsi="Times New Roman" w:cs="Times New Roman"/>
          <w:i/>
          <w:iCs/>
          <w:sz w:val="24"/>
          <w:szCs w:val="24"/>
        </w:rPr>
        <w:t>Neurology</w:t>
      </w:r>
      <w:r w:rsidRPr="00810C71">
        <w:rPr>
          <w:rFonts w:ascii="Times New Roman" w:hAnsi="Times New Roman" w:cs="Times New Roman"/>
          <w:sz w:val="24"/>
          <w:szCs w:val="24"/>
        </w:rPr>
        <w:t>. 2012;79(6):508-514. doi:10.1212/WNL.0b013e31826356bf.</w:t>
      </w:r>
    </w:p>
    <w:p w14:paraId="49313F23" w14:textId="6E22BE17" w:rsidR="00DF4EA2"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Ehlers L, Muskens WM, Jensen LG, Kjølby M, Andersen G. National Use of Thrombolysis with Alteplase for Acute Ischaemic Stroke via Telemedicine in Denmark A Model of Budgetary Impact and Cost Effectiveness. </w:t>
      </w:r>
      <w:r w:rsidRPr="00810C71">
        <w:rPr>
          <w:rFonts w:ascii="Times New Roman" w:hAnsi="Times New Roman" w:cs="Times New Roman"/>
          <w:i/>
          <w:iCs/>
          <w:sz w:val="24"/>
          <w:szCs w:val="24"/>
        </w:rPr>
        <w:t>CNS Drugs</w:t>
      </w:r>
      <w:r w:rsidRPr="00810C71">
        <w:rPr>
          <w:rFonts w:ascii="Times New Roman" w:hAnsi="Times New Roman" w:cs="Times New Roman"/>
          <w:sz w:val="24"/>
          <w:szCs w:val="24"/>
        </w:rPr>
        <w:t>. 2008;22(1):73-81.</w:t>
      </w:r>
    </w:p>
    <w:p w14:paraId="3358BBA0" w14:textId="29816713" w:rsidR="00DF4EA2"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Ganesalingam J, Pizzo E, Morris S, Sunderland T, Ames D, Lobotesis K. Cost-Utility Analysis of Mechanical Thrombectomy Using Stent Retrievers in Acute Ischemic Stroke. </w:t>
      </w:r>
      <w:r w:rsidRPr="00810C71">
        <w:rPr>
          <w:rFonts w:ascii="Times New Roman" w:hAnsi="Times New Roman" w:cs="Times New Roman"/>
          <w:i/>
          <w:iCs/>
          <w:sz w:val="24"/>
          <w:szCs w:val="24"/>
        </w:rPr>
        <w:t>Stroke</w:t>
      </w:r>
      <w:r w:rsidRPr="00810C71">
        <w:rPr>
          <w:rFonts w:ascii="Times New Roman" w:hAnsi="Times New Roman" w:cs="Times New Roman"/>
          <w:sz w:val="24"/>
          <w:szCs w:val="24"/>
        </w:rPr>
        <w:t>. 2015;46(9):2591-2598. doi:10.1161/STROKEAHA.115.009396.</w:t>
      </w:r>
    </w:p>
    <w:p w14:paraId="281E326E" w14:textId="383FEA70" w:rsidR="00DF4EA2" w:rsidRPr="00810C71" w:rsidRDefault="00DF4EA2" w:rsidP="00810C71">
      <w:pPr>
        <w:pStyle w:val="ListParagraph"/>
        <w:numPr>
          <w:ilvl w:val="0"/>
          <w:numId w:val="38"/>
        </w:numPr>
        <w:shd w:val="clear" w:color="auto" w:fill="FFFFFF"/>
        <w:spacing w:after="0"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Guzauskas GF, Boudreau DM, Villa KF, Levine SR, Veenstra DL. The cost-effectiveness of primary stroke centers for acute stroke care. </w:t>
      </w:r>
      <w:r w:rsidRPr="00810C71">
        <w:rPr>
          <w:rFonts w:ascii="Times New Roman" w:hAnsi="Times New Roman" w:cs="Times New Roman"/>
          <w:i/>
          <w:iCs/>
          <w:sz w:val="24"/>
          <w:szCs w:val="24"/>
        </w:rPr>
        <w:t>Stroke</w:t>
      </w:r>
      <w:r w:rsidRPr="00810C71">
        <w:rPr>
          <w:rFonts w:ascii="Times New Roman" w:hAnsi="Times New Roman" w:cs="Times New Roman"/>
          <w:sz w:val="24"/>
          <w:szCs w:val="24"/>
        </w:rPr>
        <w:t>. 2012;43(6):1617-1623. doi:10.1161/STROKEAHA.111.648238.</w:t>
      </w:r>
    </w:p>
    <w:p w14:paraId="0D0B66C2" w14:textId="77777777" w:rsidR="00DF4EA2" w:rsidRPr="00810C71" w:rsidRDefault="00DF4EA2"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Jones ML, Holmes M. Alteplase for the treatment of acute ischaemic stroke: a single technology appraisal. </w:t>
      </w:r>
      <w:r w:rsidRPr="00810C71">
        <w:rPr>
          <w:rFonts w:ascii="Times New Roman" w:hAnsi="Times New Roman" w:cs="Times New Roman"/>
          <w:i/>
          <w:iCs/>
          <w:sz w:val="24"/>
          <w:szCs w:val="24"/>
        </w:rPr>
        <w:t>Health Technol Assess</w:t>
      </w:r>
      <w:r w:rsidRPr="00810C71">
        <w:rPr>
          <w:rFonts w:ascii="Times New Roman" w:hAnsi="Times New Roman" w:cs="Times New Roman"/>
          <w:sz w:val="24"/>
          <w:szCs w:val="24"/>
        </w:rPr>
        <w:t xml:space="preserve">. 2009;13 Suppl 2(February):15-21. </w:t>
      </w:r>
    </w:p>
    <w:p w14:paraId="179ED479" w14:textId="0971DB39" w:rsidR="00DF4EA2" w:rsidRPr="00810C71" w:rsidRDefault="00DF4EA2"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Kazley AS, Simpson KN, Simpson A, Jauch E, Adams RJ, Tzeel A. Optimizing the economic impact of rtPA Use in a stroke belt state: The case of South Carolina. </w:t>
      </w:r>
      <w:r w:rsidRPr="00810C71">
        <w:rPr>
          <w:rFonts w:ascii="Times New Roman" w:hAnsi="Times New Roman" w:cs="Times New Roman"/>
          <w:i/>
          <w:iCs/>
          <w:sz w:val="24"/>
          <w:szCs w:val="24"/>
        </w:rPr>
        <w:t>Am Heal Drug Benefits</w:t>
      </w:r>
      <w:r w:rsidRPr="00810C71">
        <w:rPr>
          <w:rFonts w:ascii="Times New Roman" w:hAnsi="Times New Roman" w:cs="Times New Roman"/>
          <w:sz w:val="24"/>
          <w:szCs w:val="24"/>
        </w:rPr>
        <w:t>. 2013;6(3):155-163.</w:t>
      </w:r>
    </w:p>
    <w:p w14:paraId="6FF3DCC4" w14:textId="064DE79E" w:rsidR="00DF4EA2" w:rsidRPr="00810C71" w:rsidRDefault="00DF4EA2"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Koffijberg H, Buskens E, Rinkel GJE. Aneurysm occlusion in elderly patients with aneurysmal subarachnoid haemorrhage: A cost-utility analysis. </w:t>
      </w:r>
      <w:r w:rsidRPr="00810C71">
        <w:rPr>
          <w:rFonts w:ascii="Times New Roman" w:hAnsi="Times New Roman" w:cs="Times New Roman"/>
          <w:i/>
          <w:iCs/>
          <w:sz w:val="24"/>
          <w:szCs w:val="24"/>
        </w:rPr>
        <w:t>J Neurol Neurosurg Psychiatry</w:t>
      </w:r>
      <w:r w:rsidRPr="00810C71">
        <w:rPr>
          <w:rFonts w:ascii="Times New Roman" w:hAnsi="Times New Roman" w:cs="Times New Roman"/>
          <w:sz w:val="24"/>
          <w:szCs w:val="24"/>
        </w:rPr>
        <w:t>. 2011;82(7):718-727. doi:10.1136/jnnp.2009.185660.</w:t>
      </w:r>
    </w:p>
    <w:p w14:paraId="33520D41" w14:textId="5C863D8C"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Kunz WG, Hunink MG, Dimitriadis K, et al. Cost-effectiveness of Endovascular Therapy for Acute Ischemic Stroke: A Systematic Review of the Impact of Patient Age. </w:t>
      </w:r>
      <w:r w:rsidRPr="00810C71">
        <w:rPr>
          <w:rFonts w:ascii="Times New Roman" w:hAnsi="Times New Roman" w:cs="Times New Roman"/>
          <w:i/>
          <w:iCs/>
          <w:sz w:val="24"/>
          <w:szCs w:val="24"/>
        </w:rPr>
        <w:t>Radiology</w:t>
      </w:r>
      <w:r w:rsidRPr="00810C71">
        <w:rPr>
          <w:rFonts w:ascii="Times New Roman" w:hAnsi="Times New Roman" w:cs="Times New Roman"/>
          <w:sz w:val="24"/>
          <w:szCs w:val="24"/>
        </w:rPr>
        <w:t>. 2018;(19):172886. doi:10.1148/radiol.2018172886.</w:t>
      </w:r>
    </w:p>
    <w:p w14:paraId="5B3667BF" w14:textId="3DCDB5A9" w:rsidR="00DF4EA2" w:rsidRPr="00810C71" w:rsidRDefault="00DF4EA2"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lastRenderedPageBreak/>
        <w:t xml:space="preserve">Kunz WG, Hunink MGM, Sommer WH, et al. Cost-effectiveness of endovascular stroke therapy: A patient subgroup analysis from a US healthcare perspective. </w:t>
      </w:r>
      <w:r w:rsidRPr="00810C71">
        <w:rPr>
          <w:rFonts w:ascii="Times New Roman" w:hAnsi="Times New Roman" w:cs="Times New Roman"/>
          <w:i/>
          <w:iCs/>
          <w:sz w:val="24"/>
          <w:szCs w:val="24"/>
        </w:rPr>
        <w:t>Stroke</w:t>
      </w:r>
      <w:r w:rsidRPr="00810C71">
        <w:rPr>
          <w:rFonts w:ascii="Times New Roman" w:hAnsi="Times New Roman" w:cs="Times New Roman"/>
          <w:sz w:val="24"/>
          <w:szCs w:val="24"/>
        </w:rPr>
        <w:t>. 2016;47(11):2797-2804. doi:10.1161/STROKEAHA.116.014147.</w:t>
      </w:r>
    </w:p>
    <w:p w14:paraId="37190712" w14:textId="6EABC08A" w:rsidR="00DF4EA2" w:rsidRPr="00810C71" w:rsidRDefault="00DF4EA2"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Leppert MH, Campbell JD, Simpson JR, Burke JF. Cost-Effectiveness of Intra-Arterial Treatment as an Adjunct to Intravenous Tissue-Type Plasminogen Activator for Acute Ischemic Stroke. </w:t>
      </w:r>
      <w:r w:rsidRPr="00810C71">
        <w:rPr>
          <w:rFonts w:ascii="Times New Roman" w:hAnsi="Times New Roman" w:cs="Times New Roman"/>
          <w:i/>
          <w:iCs/>
          <w:sz w:val="24"/>
          <w:szCs w:val="24"/>
        </w:rPr>
        <w:t>Stroke</w:t>
      </w:r>
      <w:r w:rsidRPr="00810C71">
        <w:rPr>
          <w:rFonts w:ascii="Times New Roman" w:hAnsi="Times New Roman" w:cs="Times New Roman"/>
          <w:sz w:val="24"/>
          <w:szCs w:val="24"/>
        </w:rPr>
        <w:t>. 2015;46(7):1870-1876. doi:10.1161/STROKEAHA.115.009779.</w:t>
      </w:r>
    </w:p>
    <w:p w14:paraId="54E32718" w14:textId="71A177BA"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Lobotesis K, Veltkamp R, Carpenter IH, Claxton LM, Saver JL, Hodgson R. Cost-effectiveness of stent-retriever thrombectomy in combination with IV t-PA compared with IV t-PA alone for acute ischemic stroke in the UK. </w:t>
      </w:r>
      <w:r w:rsidRPr="00810C71">
        <w:rPr>
          <w:rFonts w:ascii="Times New Roman" w:hAnsi="Times New Roman" w:cs="Times New Roman"/>
          <w:i/>
          <w:iCs/>
          <w:sz w:val="24"/>
          <w:szCs w:val="24"/>
        </w:rPr>
        <w:t>J Med Econ</w:t>
      </w:r>
      <w:r w:rsidRPr="00810C71">
        <w:rPr>
          <w:rFonts w:ascii="Times New Roman" w:hAnsi="Times New Roman" w:cs="Times New Roman"/>
          <w:sz w:val="24"/>
          <w:szCs w:val="24"/>
        </w:rPr>
        <w:t>. 2016;19(8):785-794. doi:10.1080/13696998.2016.1174868.</w:t>
      </w:r>
    </w:p>
    <w:p w14:paraId="5215C45B" w14:textId="45CF807F"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Mar J, Sainz-Ezkerra M, Miranda-Serrano E. Calculation of prevalence with Markov models: budget impact analysis of thrombolysis for stroke. </w:t>
      </w:r>
      <w:r w:rsidRPr="00810C71">
        <w:rPr>
          <w:rFonts w:ascii="Times New Roman" w:hAnsi="Times New Roman" w:cs="Times New Roman"/>
          <w:i/>
          <w:iCs/>
          <w:sz w:val="24"/>
          <w:szCs w:val="24"/>
        </w:rPr>
        <w:t>Med Decis Making</w:t>
      </w:r>
      <w:r w:rsidRPr="00810C71">
        <w:rPr>
          <w:rFonts w:ascii="Times New Roman" w:hAnsi="Times New Roman" w:cs="Times New Roman"/>
          <w:sz w:val="24"/>
          <w:szCs w:val="24"/>
        </w:rPr>
        <w:t>. 2008;28(4):481-490. doi:10.1177/0272989X07312720.</w:t>
      </w:r>
    </w:p>
    <w:p w14:paraId="7AFBE940" w14:textId="29A4BDE6"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Pan Y, Cai X, Huo X, et al. Cost-effectiveness of mechanical thrombectomy within 6 hours of acute ischaemic stroke in China. </w:t>
      </w:r>
      <w:r w:rsidRPr="00810C71">
        <w:rPr>
          <w:rFonts w:ascii="Times New Roman" w:hAnsi="Times New Roman" w:cs="Times New Roman"/>
          <w:i/>
          <w:iCs/>
          <w:sz w:val="24"/>
          <w:szCs w:val="24"/>
        </w:rPr>
        <w:t>BMJ Open</w:t>
      </w:r>
      <w:r w:rsidRPr="00810C71">
        <w:rPr>
          <w:rFonts w:ascii="Times New Roman" w:hAnsi="Times New Roman" w:cs="Times New Roman"/>
          <w:sz w:val="24"/>
          <w:szCs w:val="24"/>
        </w:rPr>
        <w:t>. 2018;8(2):e018951. doi:10.1136/bmjopen-2017-018951.</w:t>
      </w:r>
    </w:p>
    <w:p w14:paraId="4EA9CB24" w14:textId="5AB55E9F"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Pan Y, Wang A, Liu G, et al. Cost-effectiveness of clopidogrel-aspirin versus aspirin alone for acute transient ischemic attack and minor stroke. </w:t>
      </w:r>
      <w:r w:rsidRPr="00810C71">
        <w:rPr>
          <w:rFonts w:ascii="Times New Roman" w:hAnsi="Times New Roman" w:cs="Times New Roman"/>
          <w:i/>
          <w:iCs/>
          <w:sz w:val="24"/>
          <w:szCs w:val="24"/>
        </w:rPr>
        <w:t>J Am Heart Assoc</w:t>
      </w:r>
      <w:r w:rsidRPr="00810C71">
        <w:rPr>
          <w:rFonts w:ascii="Times New Roman" w:hAnsi="Times New Roman" w:cs="Times New Roman"/>
          <w:sz w:val="24"/>
          <w:szCs w:val="24"/>
        </w:rPr>
        <w:t>. 2014;3(3):1-10. doi:10.1161/JAHA.114.000912.</w:t>
      </w:r>
    </w:p>
    <w:p w14:paraId="3015FA9F" w14:textId="5E85C1CA"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Pandya A, Eggman AA, Kamel H, Gupta A, Schackman BR, Sanelli PC. Modeling the cost effectiveness of neuroimaging-based treatment of acute wake-up stroke. </w:t>
      </w:r>
      <w:r w:rsidRPr="00810C71">
        <w:rPr>
          <w:rFonts w:ascii="Times New Roman" w:hAnsi="Times New Roman" w:cs="Times New Roman"/>
          <w:i/>
          <w:iCs/>
          <w:sz w:val="24"/>
          <w:szCs w:val="24"/>
        </w:rPr>
        <w:t>PLoS One</w:t>
      </w:r>
      <w:r w:rsidRPr="00810C71">
        <w:rPr>
          <w:rFonts w:ascii="Times New Roman" w:hAnsi="Times New Roman" w:cs="Times New Roman"/>
          <w:sz w:val="24"/>
          <w:szCs w:val="24"/>
        </w:rPr>
        <w:t>. 2016;11(2):1-13. doi:10.1371/journal.pone.0148106.</w:t>
      </w:r>
    </w:p>
    <w:p w14:paraId="4C685DCA" w14:textId="45A7B0FF"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Patil CG, Long EF, Lansberg MG. Cost-effectiveness analysis of mechanical thrombectomy in acute ischemic stroke. </w:t>
      </w:r>
      <w:r w:rsidRPr="00810C71">
        <w:rPr>
          <w:rFonts w:ascii="Times New Roman" w:hAnsi="Times New Roman" w:cs="Times New Roman"/>
          <w:i/>
          <w:iCs/>
          <w:sz w:val="24"/>
          <w:szCs w:val="24"/>
        </w:rPr>
        <w:t>J Neurosurg</w:t>
      </w:r>
      <w:r w:rsidRPr="00810C71">
        <w:rPr>
          <w:rFonts w:ascii="Times New Roman" w:hAnsi="Times New Roman" w:cs="Times New Roman"/>
          <w:sz w:val="24"/>
          <w:szCs w:val="24"/>
        </w:rPr>
        <w:t>. 2009;110(3):508-513. doi:10.3171/2008.8.JNS08133.</w:t>
      </w:r>
    </w:p>
    <w:p w14:paraId="4D3DFE27" w14:textId="23627089"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lastRenderedPageBreak/>
        <w:t xml:space="preserve">Ruggeri M, Basile M, Zini A, et al. Cost-effectiveness analysis of mechanical thrombectomy with stent retriever in the treatment of acute ischemic stroke in Italy. </w:t>
      </w:r>
      <w:r w:rsidRPr="00810C71">
        <w:rPr>
          <w:rFonts w:ascii="Times New Roman" w:hAnsi="Times New Roman" w:cs="Times New Roman"/>
          <w:i/>
          <w:iCs/>
          <w:sz w:val="24"/>
          <w:szCs w:val="24"/>
        </w:rPr>
        <w:t>J Med Econ</w:t>
      </w:r>
      <w:r w:rsidRPr="00810C71">
        <w:rPr>
          <w:rFonts w:ascii="Times New Roman" w:hAnsi="Times New Roman" w:cs="Times New Roman"/>
          <w:sz w:val="24"/>
          <w:szCs w:val="24"/>
        </w:rPr>
        <w:t>. 2018;21(9):902-911. doi:10.1080/13696998.2018.1484748.</w:t>
      </w:r>
    </w:p>
    <w:p w14:paraId="1283FD02" w14:textId="09AA7272"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Soeteman DI, Menzies NA, Pandya A. Would a Large tPA Trial for Those 4.5 to 6.0 Hours from Stroke Onset Be Good Value for Information? </w:t>
      </w:r>
      <w:r w:rsidRPr="00810C71">
        <w:rPr>
          <w:rFonts w:ascii="Times New Roman" w:hAnsi="Times New Roman" w:cs="Times New Roman"/>
          <w:i/>
          <w:iCs/>
          <w:sz w:val="24"/>
          <w:szCs w:val="24"/>
        </w:rPr>
        <w:t>Value Heal</w:t>
      </w:r>
      <w:r w:rsidRPr="00810C71">
        <w:rPr>
          <w:rFonts w:ascii="Times New Roman" w:hAnsi="Times New Roman" w:cs="Times New Roman"/>
          <w:sz w:val="24"/>
          <w:szCs w:val="24"/>
        </w:rPr>
        <w:t>. 2017;20(7):894-901. doi:10.1016/j.jval.2017.03.004.</w:t>
      </w:r>
    </w:p>
    <w:p w14:paraId="6AF536A2" w14:textId="2E5F89ED"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Steen Carlsson K, Andsberg G, Petersson J, Norrving B. Long-term cost-effectiveness of thrombectomy for acute ischaemic stroke in real life: An analysis based on data from the Swedish Stroke Register (Riksstroke). </w:t>
      </w:r>
      <w:r w:rsidRPr="00810C71">
        <w:rPr>
          <w:rFonts w:ascii="Times New Roman" w:hAnsi="Times New Roman" w:cs="Times New Roman"/>
          <w:i/>
          <w:iCs/>
          <w:sz w:val="24"/>
          <w:szCs w:val="24"/>
        </w:rPr>
        <w:t>Int J Stroke</w:t>
      </w:r>
      <w:r w:rsidRPr="00810C71">
        <w:rPr>
          <w:rFonts w:ascii="Times New Roman" w:hAnsi="Times New Roman" w:cs="Times New Roman"/>
          <w:sz w:val="24"/>
          <w:szCs w:val="24"/>
        </w:rPr>
        <w:t>. 2017;12(8):174749301770115. doi:10.1177/1747493017701154.</w:t>
      </w:r>
    </w:p>
    <w:p w14:paraId="223B04AB" w14:textId="3151165E"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Svensson J, Ghatnekar O, Lindgren A, et al. Societal value of stem cell therapy in stroke-a modeling study. </w:t>
      </w:r>
      <w:r w:rsidRPr="00810C71">
        <w:rPr>
          <w:rFonts w:ascii="Times New Roman" w:hAnsi="Times New Roman" w:cs="Times New Roman"/>
          <w:i/>
          <w:iCs/>
          <w:sz w:val="24"/>
          <w:szCs w:val="24"/>
        </w:rPr>
        <w:t>Cerebrovasc Dis</w:t>
      </w:r>
      <w:r w:rsidRPr="00810C71">
        <w:rPr>
          <w:rFonts w:ascii="Times New Roman" w:hAnsi="Times New Roman" w:cs="Times New Roman"/>
          <w:sz w:val="24"/>
          <w:szCs w:val="24"/>
        </w:rPr>
        <w:t>. 2012;33(6):532-539. doi:10.1159/000337765.</w:t>
      </w:r>
    </w:p>
    <w:p w14:paraId="5188C394" w14:textId="77777777"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Trippoli S, Caccese E, Marinai C, Messori A. Value-based procurement of medical devices: Application to devices for mechanical thrombectomy in ischemic stroke. </w:t>
      </w:r>
      <w:r w:rsidRPr="00810C71">
        <w:rPr>
          <w:rFonts w:ascii="Times New Roman" w:hAnsi="Times New Roman" w:cs="Times New Roman"/>
          <w:i/>
          <w:iCs/>
          <w:sz w:val="24"/>
          <w:szCs w:val="24"/>
        </w:rPr>
        <w:t>Clin Neurol Neurosurg</w:t>
      </w:r>
      <w:r w:rsidRPr="00810C71">
        <w:rPr>
          <w:rFonts w:ascii="Times New Roman" w:hAnsi="Times New Roman" w:cs="Times New Roman"/>
          <w:sz w:val="24"/>
          <w:szCs w:val="24"/>
        </w:rPr>
        <w:t>. 2018.</w:t>
      </w:r>
    </w:p>
    <w:p w14:paraId="06C3DDB6" w14:textId="77777777"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Tung CE, Win SS, Lansberg MG. Cost-effectiveness of tissue-type plasminogen activator in the 3- to 4.5-hour time window for acute ischemic stroke. </w:t>
      </w:r>
      <w:r w:rsidRPr="00810C71">
        <w:rPr>
          <w:rFonts w:ascii="Times New Roman" w:hAnsi="Times New Roman" w:cs="Times New Roman"/>
          <w:i/>
          <w:iCs/>
          <w:sz w:val="24"/>
          <w:szCs w:val="24"/>
        </w:rPr>
        <w:t>Stroke</w:t>
      </w:r>
      <w:r w:rsidRPr="00810C71">
        <w:rPr>
          <w:rFonts w:ascii="Times New Roman" w:hAnsi="Times New Roman" w:cs="Times New Roman"/>
          <w:sz w:val="24"/>
          <w:szCs w:val="24"/>
        </w:rPr>
        <w:t>. 2011;42(8):2257-2262. doi:10.1161/STROKEAHA.111.615682.</w:t>
      </w:r>
    </w:p>
    <w:p w14:paraId="2660256E" w14:textId="5835CD2D" w:rsidR="0037490A" w:rsidRPr="00810C71" w:rsidRDefault="0037490A" w:rsidP="00810C71">
      <w:pPr>
        <w:pStyle w:val="ListParagraph"/>
        <w:numPr>
          <w:ilvl w:val="0"/>
          <w:numId w:val="38"/>
        </w:numPr>
        <w:spacing w:line="480" w:lineRule="auto"/>
        <w:ind w:left="360"/>
        <w:rPr>
          <w:rFonts w:ascii="Times New Roman" w:hAnsi="Times New Roman" w:cs="Times New Roman"/>
          <w:sz w:val="24"/>
          <w:szCs w:val="24"/>
        </w:rPr>
      </w:pPr>
      <w:r w:rsidRPr="00810C71">
        <w:rPr>
          <w:rFonts w:ascii="Times New Roman" w:hAnsi="Times New Roman" w:cs="Times New Roman"/>
          <w:sz w:val="24"/>
          <w:szCs w:val="24"/>
        </w:rPr>
        <w:t xml:space="preserve">Valenzuela Espinoza A, Devos S, van Hooff R-J, et al. Time Gain Needed for In-Ambulance Telemedicine: Cost-Utility Model. </w:t>
      </w:r>
      <w:r w:rsidRPr="00810C71">
        <w:rPr>
          <w:rFonts w:ascii="Times New Roman" w:hAnsi="Times New Roman" w:cs="Times New Roman"/>
          <w:i/>
          <w:iCs/>
          <w:sz w:val="24"/>
          <w:szCs w:val="24"/>
        </w:rPr>
        <w:t>JMIR mHealth uHealth</w:t>
      </w:r>
      <w:r w:rsidRPr="00810C71">
        <w:rPr>
          <w:rFonts w:ascii="Times New Roman" w:hAnsi="Times New Roman" w:cs="Times New Roman"/>
          <w:sz w:val="24"/>
          <w:szCs w:val="24"/>
        </w:rPr>
        <w:t>. 2017;5(11):e175. doi:10.2196/mhealth.8288.</w:t>
      </w:r>
    </w:p>
    <w:p w14:paraId="216BEC34" w14:textId="4451544B" w:rsidR="0037490A" w:rsidRPr="00810C71" w:rsidRDefault="0037490A" w:rsidP="00810C71">
      <w:pPr>
        <w:spacing w:line="480" w:lineRule="auto"/>
        <w:rPr>
          <w:rFonts w:ascii="Times New Roman" w:hAnsi="Times New Roman" w:cs="Times New Roman"/>
          <w:sz w:val="24"/>
          <w:szCs w:val="24"/>
        </w:rPr>
      </w:pPr>
      <w:r w:rsidRPr="00810C71">
        <w:rPr>
          <w:rFonts w:ascii="Times New Roman" w:hAnsi="Times New Roman" w:cs="Times New Roman"/>
          <w:b/>
          <w:sz w:val="24"/>
          <w:szCs w:val="24"/>
        </w:rPr>
        <w:t>Group 2 – Markov Disability and Cognition (k=2)</w:t>
      </w:r>
    </w:p>
    <w:p w14:paraId="0ED3F2D3" w14:textId="0967433C" w:rsidR="0037490A" w:rsidRPr="00810C71" w:rsidRDefault="0037490A" w:rsidP="00810C71">
      <w:pPr>
        <w:pStyle w:val="ListParagraph"/>
        <w:numPr>
          <w:ilvl w:val="0"/>
          <w:numId w:val="35"/>
        </w:numPr>
        <w:spacing w:line="480" w:lineRule="auto"/>
        <w:rPr>
          <w:rFonts w:ascii="Times New Roman" w:hAnsi="Times New Roman" w:cs="Times New Roman"/>
          <w:sz w:val="24"/>
          <w:szCs w:val="24"/>
        </w:rPr>
      </w:pPr>
      <w:r w:rsidRPr="00810C71">
        <w:rPr>
          <w:rFonts w:ascii="Times New Roman" w:hAnsi="Times New Roman" w:cs="Times New Roman"/>
          <w:sz w:val="24"/>
          <w:szCs w:val="24"/>
        </w:rPr>
        <w:t xml:space="preserve">Takao H, Nojo T, Ohtomo K. Cost-effectiveness of Treatment of Unruptured Intracranial Aneurysms in Patients with a History of Subarachnoid Hemorrhage. </w:t>
      </w:r>
      <w:r w:rsidRPr="00810C71">
        <w:rPr>
          <w:rFonts w:ascii="Times New Roman" w:hAnsi="Times New Roman" w:cs="Times New Roman"/>
          <w:i/>
          <w:iCs/>
          <w:sz w:val="24"/>
          <w:szCs w:val="24"/>
        </w:rPr>
        <w:t>Acad Radiol</w:t>
      </w:r>
      <w:r w:rsidRPr="00810C71">
        <w:rPr>
          <w:rFonts w:ascii="Times New Roman" w:hAnsi="Times New Roman" w:cs="Times New Roman"/>
          <w:sz w:val="24"/>
          <w:szCs w:val="24"/>
        </w:rPr>
        <w:t>. 2008;15(9):1126-1132. doi:10.1016/j.acra.2008.02.017.</w:t>
      </w:r>
    </w:p>
    <w:p w14:paraId="39B0EFF4" w14:textId="3F57DFBD" w:rsidR="0037490A" w:rsidRPr="00810C71" w:rsidRDefault="0037490A" w:rsidP="00810C71">
      <w:pPr>
        <w:pStyle w:val="ListParagraph"/>
        <w:numPr>
          <w:ilvl w:val="0"/>
          <w:numId w:val="35"/>
        </w:numPr>
        <w:spacing w:line="480" w:lineRule="auto"/>
        <w:rPr>
          <w:rFonts w:ascii="Times New Roman" w:hAnsi="Times New Roman" w:cs="Times New Roman"/>
          <w:sz w:val="24"/>
          <w:szCs w:val="24"/>
        </w:rPr>
      </w:pPr>
      <w:r w:rsidRPr="00810C71">
        <w:rPr>
          <w:rFonts w:ascii="Times New Roman" w:hAnsi="Times New Roman" w:cs="Times New Roman"/>
          <w:sz w:val="24"/>
          <w:szCs w:val="24"/>
        </w:rPr>
        <w:lastRenderedPageBreak/>
        <w:t xml:space="preserve">Takao H, Nojo T, Ohtomo K. Screening for Familial Intracranial Aneurysms. Decision and Cost-effectiveness Analysis. </w:t>
      </w:r>
      <w:r w:rsidRPr="00810C71">
        <w:rPr>
          <w:rFonts w:ascii="Times New Roman" w:hAnsi="Times New Roman" w:cs="Times New Roman"/>
          <w:i/>
          <w:iCs/>
          <w:sz w:val="24"/>
          <w:szCs w:val="24"/>
        </w:rPr>
        <w:t>Acad Radiol</w:t>
      </w:r>
      <w:r w:rsidRPr="00810C71">
        <w:rPr>
          <w:rFonts w:ascii="Times New Roman" w:hAnsi="Times New Roman" w:cs="Times New Roman"/>
          <w:sz w:val="24"/>
          <w:szCs w:val="24"/>
        </w:rPr>
        <w:t>. 2008;15(4):462-471. doi:10.1016/j.acra.2007.11.007.</w:t>
      </w:r>
    </w:p>
    <w:p w14:paraId="6BB7EF6E" w14:textId="77777777" w:rsidR="0037490A" w:rsidRPr="00810C71" w:rsidRDefault="0037490A" w:rsidP="00810C71">
      <w:pPr>
        <w:spacing w:line="276" w:lineRule="auto"/>
        <w:rPr>
          <w:rFonts w:ascii="Times New Roman" w:hAnsi="Times New Roman" w:cs="Times New Roman"/>
          <w:b/>
          <w:sz w:val="24"/>
          <w:szCs w:val="24"/>
        </w:rPr>
      </w:pPr>
      <w:r w:rsidRPr="00810C71">
        <w:rPr>
          <w:rFonts w:ascii="Times New Roman" w:hAnsi="Times New Roman" w:cs="Times New Roman"/>
          <w:b/>
          <w:sz w:val="24"/>
          <w:szCs w:val="24"/>
        </w:rPr>
        <w:t>Group 3: Discrete Event Simulation (DES) (k=4)</w:t>
      </w:r>
    </w:p>
    <w:p w14:paraId="147904CF" w14:textId="77777777" w:rsidR="0037490A" w:rsidRPr="00810C71" w:rsidRDefault="0037490A" w:rsidP="00810C71">
      <w:pPr>
        <w:pStyle w:val="ListParagraph"/>
        <w:numPr>
          <w:ilvl w:val="0"/>
          <w:numId w:val="36"/>
        </w:numPr>
        <w:shd w:val="clear" w:color="auto" w:fill="FFFFFF"/>
        <w:spacing w:after="0" w:line="480" w:lineRule="auto"/>
        <w:rPr>
          <w:rFonts w:ascii="Times New Roman" w:hAnsi="Times New Roman" w:cs="Times New Roman"/>
          <w:sz w:val="24"/>
          <w:szCs w:val="24"/>
        </w:rPr>
      </w:pPr>
      <w:r w:rsidRPr="00810C71">
        <w:rPr>
          <w:rFonts w:ascii="Times New Roman" w:hAnsi="Times New Roman" w:cs="Times New Roman"/>
          <w:sz w:val="24"/>
          <w:szCs w:val="24"/>
        </w:rPr>
        <w:t xml:space="preserve">Hoffmeister L, Lavados PM, Mar J, Comas M, Arrospide A, Castells X. Minimum intravenous thrombolysis utilization rates in acute ischemic stroke to achieve population effects on disability: A discrete-event simulation model. </w:t>
      </w:r>
      <w:r w:rsidRPr="00810C71">
        <w:rPr>
          <w:rFonts w:ascii="Times New Roman" w:hAnsi="Times New Roman" w:cs="Times New Roman"/>
          <w:i/>
          <w:iCs/>
          <w:sz w:val="24"/>
          <w:szCs w:val="24"/>
        </w:rPr>
        <w:t>J Neurol Sci</w:t>
      </w:r>
      <w:r w:rsidRPr="00810C71">
        <w:rPr>
          <w:rFonts w:ascii="Times New Roman" w:hAnsi="Times New Roman" w:cs="Times New Roman"/>
          <w:sz w:val="24"/>
          <w:szCs w:val="24"/>
        </w:rPr>
        <w:t>. 2016;365:59-64. doi:10.1016/j.jns.2016.04.005.</w:t>
      </w:r>
    </w:p>
    <w:p w14:paraId="01BA2EED" w14:textId="77777777" w:rsidR="0037490A" w:rsidRPr="00810C71" w:rsidRDefault="0037490A" w:rsidP="00810C71">
      <w:pPr>
        <w:pStyle w:val="ListParagraph"/>
        <w:numPr>
          <w:ilvl w:val="0"/>
          <w:numId w:val="36"/>
        </w:numPr>
        <w:shd w:val="clear" w:color="auto" w:fill="FFFFFF"/>
        <w:spacing w:after="0" w:line="480" w:lineRule="auto"/>
        <w:rPr>
          <w:rFonts w:ascii="Times New Roman" w:hAnsi="Times New Roman" w:cs="Times New Roman"/>
          <w:sz w:val="24"/>
          <w:szCs w:val="24"/>
        </w:rPr>
      </w:pPr>
      <w:r w:rsidRPr="00810C71">
        <w:rPr>
          <w:rFonts w:ascii="Times New Roman" w:hAnsi="Times New Roman" w:cs="Times New Roman"/>
          <w:sz w:val="24"/>
          <w:szCs w:val="24"/>
        </w:rPr>
        <w:t xml:space="preserve">Hunter RM, Fulop NJ, Boaden RJ, et al. The potential role of cost-utility analysis in the decision to implement major system change in acute stroke services in metropolitan areas in England. </w:t>
      </w:r>
      <w:r w:rsidRPr="00810C71">
        <w:rPr>
          <w:rFonts w:ascii="Times New Roman" w:hAnsi="Times New Roman" w:cs="Times New Roman"/>
          <w:i/>
          <w:iCs/>
          <w:sz w:val="24"/>
          <w:szCs w:val="24"/>
        </w:rPr>
        <w:t>Heal Res Policy Syst</w:t>
      </w:r>
      <w:r w:rsidRPr="00810C71">
        <w:rPr>
          <w:rFonts w:ascii="Times New Roman" w:hAnsi="Times New Roman" w:cs="Times New Roman"/>
          <w:sz w:val="24"/>
          <w:szCs w:val="24"/>
        </w:rPr>
        <w:t>. 2018;16(1):1-14. doi:10.1186/s12961-018-0301-5.</w:t>
      </w:r>
    </w:p>
    <w:p w14:paraId="7B96393F" w14:textId="77777777" w:rsidR="0037490A" w:rsidRPr="00810C71" w:rsidRDefault="0037490A" w:rsidP="00810C71">
      <w:pPr>
        <w:pStyle w:val="ListParagraph"/>
        <w:numPr>
          <w:ilvl w:val="0"/>
          <w:numId w:val="36"/>
        </w:numPr>
        <w:spacing w:line="480" w:lineRule="auto"/>
        <w:rPr>
          <w:rFonts w:ascii="Times New Roman" w:hAnsi="Times New Roman" w:cs="Times New Roman"/>
          <w:sz w:val="24"/>
          <w:szCs w:val="24"/>
        </w:rPr>
      </w:pPr>
      <w:r w:rsidRPr="00810C71">
        <w:rPr>
          <w:rFonts w:ascii="Times New Roman" w:hAnsi="Times New Roman" w:cs="Times New Roman"/>
          <w:sz w:val="24"/>
          <w:szCs w:val="24"/>
        </w:rPr>
        <w:t xml:space="preserve">Kongnakorn T, Ward A, Roberts CS, O’Brien JA, Proskorovsky I, Caro JJ. Economic evaluation of atorvastatin for prevention of recurrent stroke based on the SPARCL trial. </w:t>
      </w:r>
      <w:r w:rsidRPr="00810C71">
        <w:rPr>
          <w:rFonts w:ascii="Times New Roman" w:hAnsi="Times New Roman" w:cs="Times New Roman"/>
          <w:i/>
          <w:iCs/>
          <w:sz w:val="24"/>
          <w:szCs w:val="24"/>
        </w:rPr>
        <w:t>Value Heal</w:t>
      </w:r>
      <w:r w:rsidRPr="00810C71">
        <w:rPr>
          <w:rFonts w:ascii="Times New Roman" w:hAnsi="Times New Roman" w:cs="Times New Roman"/>
          <w:sz w:val="24"/>
          <w:szCs w:val="24"/>
        </w:rPr>
        <w:t>. 2009;12(6):880-887. doi:10.1111/j.1524-4733.2009.00531.x.</w:t>
      </w:r>
    </w:p>
    <w:p w14:paraId="01A7DB92" w14:textId="77777777" w:rsidR="0037490A" w:rsidRPr="00810C71" w:rsidRDefault="0037490A" w:rsidP="00810C71">
      <w:pPr>
        <w:pStyle w:val="ListParagraph"/>
        <w:numPr>
          <w:ilvl w:val="0"/>
          <w:numId w:val="36"/>
        </w:numPr>
        <w:spacing w:line="480" w:lineRule="auto"/>
        <w:rPr>
          <w:rFonts w:ascii="Times New Roman" w:hAnsi="Times New Roman" w:cs="Times New Roman"/>
          <w:sz w:val="24"/>
          <w:szCs w:val="24"/>
        </w:rPr>
      </w:pPr>
      <w:r w:rsidRPr="00810C71">
        <w:rPr>
          <w:rFonts w:ascii="Times New Roman" w:hAnsi="Times New Roman" w:cs="Times New Roman"/>
          <w:sz w:val="24"/>
          <w:szCs w:val="24"/>
        </w:rPr>
        <w:t xml:space="preserve">Mar J, Arrospide A, Comas M. Budget impact analysis of thrombolysis for stroke in Spain: A discrete event simulation model. </w:t>
      </w:r>
      <w:r w:rsidRPr="00810C71">
        <w:rPr>
          <w:rFonts w:ascii="Times New Roman" w:hAnsi="Times New Roman" w:cs="Times New Roman"/>
          <w:i/>
          <w:iCs/>
          <w:sz w:val="24"/>
          <w:szCs w:val="24"/>
        </w:rPr>
        <w:t>Value Heal</w:t>
      </w:r>
      <w:r w:rsidRPr="00810C71">
        <w:rPr>
          <w:rFonts w:ascii="Times New Roman" w:hAnsi="Times New Roman" w:cs="Times New Roman"/>
          <w:sz w:val="24"/>
          <w:szCs w:val="24"/>
        </w:rPr>
        <w:t>. 2010;13(1):69-76. doi:10.1111/j.1524-4733.2009.00655.x.</w:t>
      </w:r>
    </w:p>
    <w:p w14:paraId="119AFB50" w14:textId="32660536" w:rsidR="0037490A" w:rsidRPr="00810C71" w:rsidRDefault="0037490A" w:rsidP="00810C71">
      <w:pPr>
        <w:spacing w:line="480" w:lineRule="auto"/>
        <w:rPr>
          <w:rFonts w:ascii="Times New Roman" w:hAnsi="Times New Roman" w:cs="Times New Roman"/>
          <w:sz w:val="24"/>
          <w:szCs w:val="24"/>
        </w:rPr>
      </w:pPr>
      <w:r w:rsidRPr="00810C71">
        <w:rPr>
          <w:rFonts w:ascii="Times New Roman" w:hAnsi="Times New Roman" w:cs="Times New Roman"/>
          <w:b/>
          <w:sz w:val="24"/>
          <w:szCs w:val="24"/>
        </w:rPr>
        <w:t xml:space="preserve">Group 4 – </w:t>
      </w:r>
      <w:r w:rsidRPr="00810C71">
        <w:rPr>
          <w:rFonts w:ascii="Times New Roman" w:hAnsi="Times New Roman" w:cs="Times New Roman"/>
          <w:sz w:val="24"/>
          <w:szCs w:val="24"/>
        </w:rPr>
        <w:t>Other (k=5)</w:t>
      </w:r>
    </w:p>
    <w:p w14:paraId="4A0BF0B7" w14:textId="77777777" w:rsidR="0037490A" w:rsidRPr="00810C71" w:rsidRDefault="0037490A" w:rsidP="00810C71">
      <w:pPr>
        <w:pStyle w:val="ListParagraph"/>
        <w:numPr>
          <w:ilvl w:val="0"/>
          <w:numId w:val="37"/>
        </w:numPr>
        <w:shd w:val="clear" w:color="auto" w:fill="FFFFFF"/>
        <w:spacing w:after="0" w:line="480" w:lineRule="auto"/>
        <w:rPr>
          <w:rFonts w:ascii="Times New Roman" w:hAnsi="Times New Roman" w:cs="Times New Roman"/>
          <w:sz w:val="24"/>
          <w:szCs w:val="24"/>
        </w:rPr>
      </w:pPr>
      <w:r w:rsidRPr="00810C71">
        <w:rPr>
          <w:rFonts w:ascii="Times New Roman" w:hAnsi="Times New Roman" w:cs="Times New Roman"/>
          <w:sz w:val="24"/>
          <w:szCs w:val="24"/>
        </w:rPr>
        <w:t xml:space="preserve">Aviv RI, Kelly AG, Jahromi BS, Benesch CG, Young KC. The cost-utility of CT angiography and conventional angiography for people presenting with intracerebral hemorrhage. </w:t>
      </w:r>
      <w:r w:rsidRPr="00810C71">
        <w:rPr>
          <w:rFonts w:ascii="Times New Roman" w:hAnsi="Times New Roman" w:cs="Times New Roman"/>
          <w:i/>
          <w:iCs/>
          <w:sz w:val="24"/>
          <w:szCs w:val="24"/>
        </w:rPr>
        <w:t>PLoS One</w:t>
      </w:r>
      <w:r w:rsidRPr="00810C71">
        <w:rPr>
          <w:rFonts w:ascii="Times New Roman" w:hAnsi="Times New Roman" w:cs="Times New Roman"/>
          <w:sz w:val="24"/>
          <w:szCs w:val="24"/>
        </w:rPr>
        <w:t>. 2014;9(5). doi:10.1371/journal.pone.0096496.</w:t>
      </w:r>
    </w:p>
    <w:p w14:paraId="78BEE1A9" w14:textId="761D97D5" w:rsidR="0037490A" w:rsidRPr="00810C71" w:rsidRDefault="0037490A" w:rsidP="00810C71">
      <w:pPr>
        <w:pStyle w:val="ListParagraph"/>
        <w:numPr>
          <w:ilvl w:val="0"/>
          <w:numId w:val="37"/>
        </w:numPr>
        <w:shd w:val="clear" w:color="auto" w:fill="FFFFFF"/>
        <w:spacing w:after="0" w:line="480" w:lineRule="auto"/>
        <w:rPr>
          <w:rFonts w:ascii="Times New Roman" w:hAnsi="Times New Roman" w:cs="Times New Roman"/>
          <w:sz w:val="24"/>
          <w:szCs w:val="24"/>
        </w:rPr>
      </w:pPr>
      <w:r w:rsidRPr="00810C71">
        <w:rPr>
          <w:rFonts w:ascii="Times New Roman" w:hAnsi="Times New Roman" w:cs="Times New Roman"/>
          <w:sz w:val="24"/>
          <w:szCs w:val="24"/>
        </w:rPr>
        <w:t xml:space="preserve">Demaerschalk BM, Switzer J a, Xie J, Fan L, Villa KF, Wu EQ. Cost utility of hub-and-spoke telestroke networks from societal perspective. </w:t>
      </w:r>
      <w:r w:rsidRPr="00810C71">
        <w:rPr>
          <w:rFonts w:ascii="Times New Roman" w:hAnsi="Times New Roman" w:cs="Times New Roman"/>
          <w:i/>
          <w:iCs/>
          <w:sz w:val="24"/>
          <w:szCs w:val="24"/>
        </w:rPr>
        <w:t>Am J Manag Care</w:t>
      </w:r>
      <w:r w:rsidRPr="00810C71">
        <w:rPr>
          <w:rFonts w:ascii="Times New Roman" w:hAnsi="Times New Roman" w:cs="Times New Roman"/>
          <w:sz w:val="24"/>
          <w:szCs w:val="24"/>
        </w:rPr>
        <w:t xml:space="preserve">. 2013;19(12):976-985. </w:t>
      </w:r>
      <w:r w:rsidRPr="00762DF4">
        <w:rPr>
          <w:rFonts w:ascii="Times New Roman" w:hAnsi="Times New Roman" w:cs="Times New Roman"/>
          <w:sz w:val="24"/>
          <w:szCs w:val="24"/>
        </w:rPr>
        <w:t>http://www.ncbi.nlm.nih.gov/pubmed/24512034</w:t>
      </w:r>
      <w:r w:rsidRPr="00810C71">
        <w:rPr>
          <w:rFonts w:ascii="Times New Roman" w:hAnsi="Times New Roman" w:cs="Times New Roman"/>
          <w:sz w:val="24"/>
          <w:szCs w:val="24"/>
        </w:rPr>
        <w:t>.</w:t>
      </w:r>
    </w:p>
    <w:p w14:paraId="58AB9168" w14:textId="77777777" w:rsidR="0037490A" w:rsidRPr="00810C71" w:rsidRDefault="0037490A" w:rsidP="00810C71">
      <w:pPr>
        <w:pStyle w:val="ListParagraph"/>
        <w:numPr>
          <w:ilvl w:val="0"/>
          <w:numId w:val="37"/>
        </w:numPr>
        <w:shd w:val="clear" w:color="auto" w:fill="FFFFFF"/>
        <w:spacing w:after="0" w:line="480" w:lineRule="auto"/>
        <w:rPr>
          <w:rFonts w:ascii="Times New Roman" w:eastAsia="Times New Roman" w:hAnsi="Times New Roman" w:cs="Times New Roman"/>
          <w:color w:val="000000" w:themeColor="text1"/>
          <w:sz w:val="24"/>
          <w:szCs w:val="24"/>
          <w:lang w:eastAsia="en-IE"/>
        </w:rPr>
      </w:pPr>
      <w:r w:rsidRPr="00810C71">
        <w:rPr>
          <w:rFonts w:ascii="Times New Roman" w:hAnsi="Times New Roman" w:cs="Times New Roman"/>
          <w:sz w:val="24"/>
          <w:szCs w:val="24"/>
        </w:rPr>
        <w:lastRenderedPageBreak/>
        <w:t xml:space="preserve">Jackson D, Earnshaw SR, Farkouh R, Schwamm L. Cost-effectiveness of CT perfusion for selecting patients for intravenous thrombolysis: A US hospital perspective. </w:t>
      </w:r>
      <w:r w:rsidRPr="00810C71">
        <w:rPr>
          <w:rFonts w:ascii="Times New Roman" w:hAnsi="Times New Roman" w:cs="Times New Roman"/>
          <w:i/>
          <w:iCs/>
          <w:sz w:val="24"/>
          <w:szCs w:val="24"/>
        </w:rPr>
        <w:t>Am J Neuroradiol</w:t>
      </w:r>
      <w:r w:rsidRPr="00810C71">
        <w:rPr>
          <w:rFonts w:ascii="Times New Roman" w:hAnsi="Times New Roman" w:cs="Times New Roman"/>
          <w:sz w:val="24"/>
          <w:szCs w:val="24"/>
        </w:rPr>
        <w:t>. 2010;31(9):1669-1674. doi:10.3174/ajnr.A2138.</w:t>
      </w:r>
    </w:p>
    <w:p w14:paraId="28BFA2E1" w14:textId="77777777" w:rsidR="0037490A" w:rsidRPr="00810C71" w:rsidRDefault="0037490A" w:rsidP="00810C71">
      <w:pPr>
        <w:pStyle w:val="ListParagraph"/>
        <w:numPr>
          <w:ilvl w:val="0"/>
          <w:numId w:val="37"/>
        </w:numPr>
        <w:spacing w:line="480" w:lineRule="auto"/>
        <w:rPr>
          <w:rFonts w:ascii="Times New Roman" w:hAnsi="Times New Roman" w:cs="Times New Roman"/>
          <w:sz w:val="24"/>
          <w:szCs w:val="24"/>
        </w:rPr>
      </w:pPr>
      <w:r w:rsidRPr="00810C71">
        <w:rPr>
          <w:rFonts w:ascii="Times New Roman" w:hAnsi="Times New Roman" w:cs="Times New Roman"/>
          <w:sz w:val="24"/>
          <w:szCs w:val="24"/>
        </w:rPr>
        <w:t xml:space="preserve">Leppert MH, Poisson SN, Carroll JD, et al. Cost-Effectiveness of Patent Foramen Ovale Closure Versus Medical Therapy for Secondary Stroke Prevention. </w:t>
      </w:r>
      <w:r w:rsidRPr="00810C71">
        <w:rPr>
          <w:rFonts w:ascii="Times New Roman" w:hAnsi="Times New Roman" w:cs="Times New Roman"/>
          <w:i/>
          <w:iCs/>
          <w:sz w:val="24"/>
          <w:szCs w:val="24"/>
        </w:rPr>
        <w:t>Stroke</w:t>
      </w:r>
      <w:r w:rsidRPr="00810C71">
        <w:rPr>
          <w:rFonts w:ascii="Times New Roman" w:hAnsi="Times New Roman" w:cs="Times New Roman"/>
          <w:sz w:val="24"/>
          <w:szCs w:val="24"/>
        </w:rPr>
        <w:t>. 2018;49(6):1443-1450. doi:10.1161/STROKEAHA.117.020322.</w:t>
      </w:r>
    </w:p>
    <w:p w14:paraId="0AB6827D" w14:textId="56EF041B" w:rsidR="00875137" w:rsidRPr="00810C71" w:rsidRDefault="00875137" w:rsidP="00810C71">
      <w:pPr>
        <w:pStyle w:val="ListParagraph"/>
        <w:numPr>
          <w:ilvl w:val="0"/>
          <w:numId w:val="37"/>
        </w:numPr>
        <w:spacing w:line="480" w:lineRule="auto"/>
        <w:rPr>
          <w:rFonts w:ascii="Times New Roman" w:hAnsi="Times New Roman" w:cs="Times New Roman"/>
          <w:sz w:val="24"/>
          <w:szCs w:val="24"/>
        </w:rPr>
      </w:pPr>
      <w:r w:rsidRPr="00810C71">
        <w:rPr>
          <w:rFonts w:ascii="Times New Roman" w:hAnsi="Times New Roman" w:cs="Times New Roman"/>
          <w:sz w:val="24"/>
          <w:szCs w:val="24"/>
        </w:rPr>
        <w:t xml:space="preserve">Mar J, Sainz-Ezkerra M, Moler-Cuiral JA. Calculation of prevalence estimates through differential equations: Application to stroke-related disability. </w:t>
      </w:r>
      <w:r w:rsidRPr="00810C71">
        <w:rPr>
          <w:rFonts w:ascii="Times New Roman" w:hAnsi="Times New Roman" w:cs="Times New Roman"/>
          <w:i/>
          <w:iCs/>
          <w:sz w:val="24"/>
          <w:szCs w:val="24"/>
        </w:rPr>
        <w:t>Neuroepidemiology</w:t>
      </w:r>
      <w:r w:rsidRPr="00810C71">
        <w:rPr>
          <w:rFonts w:ascii="Times New Roman" w:hAnsi="Times New Roman" w:cs="Times New Roman"/>
          <w:sz w:val="24"/>
          <w:szCs w:val="24"/>
        </w:rPr>
        <w:t>. 2008;31(1):57-66. doi:10.1159/000140096.</w:t>
      </w:r>
    </w:p>
    <w:sectPr w:rsidR="00875137" w:rsidRPr="00810C71" w:rsidSect="00A945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77B1" w14:textId="77777777" w:rsidR="00D719C9" w:rsidRDefault="00D719C9" w:rsidP="00582BE0">
      <w:pPr>
        <w:spacing w:after="0" w:line="240" w:lineRule="auto"/>
      </w:pPr>
      <w:r>
        <w:separator/>
      </w:r>
    </w:p>
  </w:endnote>
  <w:endnote w:type="continuationSeparator" w:id="0">
    <w:p w14:paraId="46CB7A42" w14:textId="77777777" w:rsidR="00D719C9" w:rsidRDefault="00D719C9" w:rsidP="0058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986730"/>
      <w:docPartObj>
        <w:docPartGallery w:val="Page Numbers (Bottom of Page)"/>
        <w:docPartUnique/>
      </w:docPartObj>
    </w:sdtPr>
    <w:sdtEndPr>
      <w:rPr>
        <w:noProof/>
      </w:rPr>
    </w:sdtEndPr>
    <w:sdtContent>
      <w:p w14:paraId="7410CF1C" w14:textId="78C06623" w:rsidR="0038203D" w:rsidRDefault="0038203D">
        <w:pPr>
          <w:pStyle w:val="Footer"/>
          <w:jc w:val="center"/>
        </w:pPr>
        <w:r>
          <w:fldChar w:fldCharType="begin"/>
        </w:r>
        <w:r>
          <w:instrText xml:space="preserve"> PAGE   \* MERGEFORMAT </w:instrText>
        </w:r>
        <w:r>
          <w:fldChar w:fldCharType="separate"/>
        </w:r>
        <w:r w:rsidR="00D27CE5">
          <w:rPr>
            <w:noProof/>
          </w:rPr>
          <w:t>8</w:t>
        </w:r>
        <w:r>
          <w:rPr>
            <w:noProof/>
          </w:rPr>
          <w:fldChar w:fldCharType="end"/>
        </w:r>
      </w:p>
    </w:sdtContent>
  </w:sdt>
  <w:p w14:paraId="4D60D975" w14:textId="77777777" w:rsidR="0038203D" w:rsidRDefault="003820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4BA9B" w14:textId="77777777" w:rsidR="00D719C9" w:rsidRDefault="00D719C9" w:rsidP="00582BE0">
      <w:pPr>
        <w:spacing w:after="0" w:line="240" w:lineRule="auto"/>
      </w:pPr>
      <w:r>
        <w:separator/>
      </w:r>
    </w:p>
  </w:footnote>
  <w:footnote w:type="continuationSeparator" w:id="0">
    <w:p w14:paraId="15BAF5DC" w14:textId="77777777" w:rsidR="00D719C9" w:rsidRDefault="00D719C9" w:rsidP="00582B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883"/>
    <w:multiLevelType w:val="hybridMultilevel"/>
    <w:tmpl w:val="D0A28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A619D1"/>
    <w:multiLevelType w:val="hybridMultilevel"/>
    <w:tmpl w:val="BA1A0028"/>
    <w:lvl w:ilvl="0" w:tplc="61E05BC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BE1195"/>
    <w:multiLevelType w:val="hybridMultilevel"/>
    <w:tmpl w:val="7B3ABB3E"/>
    <w:lvl w:ilvl="0" w:tplc="37EA7D0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CD31164"/>
    <w:multiLevelType w:val="hybridMultilevel"/>
    <w:tmpl w:val="DA6E6042"/>
    <w:lvl w:ilvl="0" w:tplc="EB9A0B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71D3A"/>
    <w:multiLevelType w:val="hybridMultilevel"/>
    <w:tmpl w:val="0310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77916"/>
    <w:multiLevelType w:val="hybridMultilevel"/>
    <w:tmpl w:val="093A6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EE2588"/>
    <w:multiLevelType w:val="hybridMultilevel"/>
    <w:tmpl w:val="76BC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612A9"/>
    <w:multiLevelType w:val="hybridMultilevel"/>
    <w:tmpl w:val="40904A60"/>
    <w:lvl w:ilvl="0" w:tplc="EB9A0B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23F56"/>
    <w:multiLevelType w:val="hybridMultilevel"/>
    <w:tmpl w:val="067AD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07D9C"/>
    <w:multiLevelType w:val="hybridMultilevel"/>
    <w:tmpl w:val="4580BCD2"/>
    <w:lvl w:ilvl="0" w:tplc="7A6AA04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73777A9"/>
    <w:multiLevelType w:val="hybridMultilevel"/>
    <w:tmpl w:val="D10A1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3B421BAB"/>
    <w:multiLevelType w:val="hybridMultilevel"/>
    <w:tmpl w:val="69E262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3C3613A2"/>
    <w:multiLevelType w:val="hybridMultilevel"/>
    <w:tmpl w:val="BB88F63E"/>
    <w:lvl w:ilvl="0" w:tplc="AC3041A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CF7F74"/>
    <w:multiLevelType w:val="hybridMultilevel"/>
    <w:tmpl w:val="CA2A6C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D2B56A2"/>
    <w:multiLevelType w:val="hybridMultilevel"/>
    <w:tmpl w:val="376A3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FF25AA1"/>
    <w:multiLevelType w:val="hybridMultilevel"/>
    <w:tmpl w:val="4C76A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54C9A"/>
    <w:multiLevelType w:val="multilevel"/>
    <w:tmpl w:val="0DB2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E24277"/>
    <w:multiLevelType w:val="hybridMultilevel"/>
    <w:tmpl w:val="C1BC058A"/>
    <w:lvl w:ilvl="0" w:tplc="6DDC209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7AE24A6"/>
    <w:multiLevelType w:val="hybridMultilevel"/>
    <w:tmpl w:val="77660F8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4B7C2243"/>
    <w:multiLevelType w:val="hybridMultilevel"/>
    <w:tmpl w:val="FE8CD192"/>
    <w:lvl w:ilvl="0" w:tplc="EB9A0B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62D7A"/>
    <w:multiLevelType w:val="hybridMultilevel"/>
    <w:tmpl w:val="979A61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F63453C"/>
    <w:multiLevelType w:val="hybridMultilevel"/>
    <w:tmpl w:val="9572D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FAB2A27"/>
    <w:multiLevelType w:val="hybridMultilevel"/>
    <w:tmpl w:val="C52844CE"/>
    <w:lvl w:ilvl="0" w:tplc="1A06BB6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15F73E0"/>
    <w:multiLevelType w:val="hybridMultilevel"/>
    <w:tmpl w:val="3E5E034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6E97F0A"/>
    <w:multiLevelType w:val="hybridMultilevel"/>
    <w:tmpl w:val="D2ACBF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6F546E1"/>
    <w:multiLevelType w:val="hybridMultilevel"/>
    <w:tmpl w:val="E584B6DE"/>
    <w:lvl w:ilvl="0" w:tplc="0F5213B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EA64650"/>
    <w:multiLevelType w:val="hybridMultilevel"/>
    <w:tmpl w:val="467EBF6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5FB90C06"/>
    <w:multiLevelType w:val="hybridMultilevel"/>
    <w:tmpl w:val="E11A4B88"/>
    <w:lvl w:ilvl="0" w:tplc="0F5213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B22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20749C"/>
    <w:multiLevelType w:val="hybridMultilevel"/>
    <w:tmpl w:val="4D005D3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0311005"/>
    <w:multiLevelType w:val="hybridMultilevel"/>
    <w:tmpl w:val="A98275A8"/>
    <w:lvl w:ilvl="0" w:tplc="EB9A0B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12807"/>
    <w:multiLevelType w:val="hybridMultilevel"/>
    <w:tmpl w:val="98A6B1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19A1341"/>
    <w:multiLevelType w:val="hybridMultilevel"/>
    <w:tmpl w:val="ABA8B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B3C0A"/>
    <w:multiLevelType w:val="hybridMultilevel"/>
    <w:tmpl w:val="697AC88C"/>
    <w:lvl w:ilvl="0" w:tplc="F538142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BA666D"/>
    <w:multiLevelType w:val="hybridMultilevel"/>
    <w:tmpl w:val="7640FA42"/>
    <w:lvl w:ilvl="0" w:tplc="EB9A0B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D77A4"/>
    <w:multiLevelType w:val="hybridMultilevel"/>
    <w:tmpl w:val="28B65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5D627B"/>
    <w:multiLevelType w:val="hybridMultilevel"/>
    <w:tmpl w:val="E43C5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7C5A5B"/>
    <w:multiLevelType w:val="multilevel"/>
    <w:tmpl w:val="24F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1A5EFF"/>
    <w:multiLevelType w:val="hybridMultilevel"/>
    <w:tmpl w:val="33F6AA8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28"/>
  </w:num>
  <w:num w:numId="3">
    <w:abstractNumId w:val="21"/>
  </w:num>
  <w:num w:numId="4">
    <w:abstractNumId w:val="13"/>
  </w:num>
  <w:num w:numId="5">
    <w:abstractNumId w:val="20"/>
  </w:num>
  <w:num w:numId="6">
    <w:abstractNumId w:val="29"/>
  </w:num>
  <w:num w:numId="7">
    <w:abstractNumId w:val="23"/>
  </w:num>
  <w:num w:numId="8">
    <w:abstractNumId w:val="19"/>
  </w:num>
  <w:num w:numId="9">
    <w:abstractNumId w:val="30"/>
  </w:num>
  <w:num w:numId="10">
    <w:abstractNumId w:val="8"/>
  </w:num>
  <w:num w:numId="11">
    <w:abstractNumId w:val="6"/>
  </w:num>
  <w:num w:numId="12">
    <w:abstractNumId w:val="32"/>
  </w:num>
  <w:num w:numId="13">
    <w:abstractNumId w:val="3"/>
  </w:num>
  <w:num w:numId="14">
    <w:abstractNumId w:val="34"/>
  </w:num>
  <w:num w:numId="15">
    <w:abstractNumId w:val="35"/>
  </w:num>
  <w:num w:numId="16">
    <w:abstractNumId w:val="31"/>
  </w:num>
  <w:num w:numId="17">
    <w:abstractNumId w:val="15"/>
  </w:num>
  <w:num w:numId="18">
    <w:abstractNumId w:val="25"/>
  </w:num>
  <w:num w:numId="19">
    <w:abstractNumId w:val="37"/>
  </w:num>
  <w:num w:numId="20">
    <w:abstractNumId w:val="16"/>
  </w:num>
  <w:num w:numId="21">
    <w:abstractNumId w:val="36"/>
  </w:num>
  <w:num w:numId="22">
    <w:abstractNumId w:val="27"/>
  </w:num>
  <w:num w:numId="23">
    <w:abstractNumId w:val="7"/>
  </w:num>
  <w:num w:numId="24">
    <w:abstractNumId w:val="14"/>
  </w:num>
  <w:num w:numId="25">
    <w:abstractNumId w:val="11"/>
  </w:num>
  <w:num w:numId="26">
    <w:abstractNumId w:val="10"/>
  </w:num>
  <w:num w:numId="27">
    <w:abstractNumId w:val="4"/>
  </w:num>
  <w:num w:numId="28">
    <w:abstractNumId w:val="12"/>
  </w:num>
  <w:num w:numId="29">
    <w:abstractNumId w:val="22"/>
  </w:num>
  <w:num w:numId="30">
    <w:abstractNumId w:val="17"/>
  </w:num>
  <w:num w:numId="31">
    <w:abstractNumId w:val="33"/>
  </w:num>
  <w:num w:numId="32">
    <w:abstractNumId w:val="2"/>
  </w:num>
  <w:num w:numId="33">
    <w:abstractNumId w:val="9"/>
  </w:num>
  <w:num w:numId="34">
    <w:abstractNumId w:val="1"/>
  </w:num>
  <w:num w:numId="35">
    <w:abstractNumId w:val="38"/>
  </w:num>
  <w:num w:numId="36">
    <w:abstractNumId w:val="26"/>
  </w:num>
  <w:num w:numId="37">
    <w:abstractNumId w:val="18"/>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en-AU" w:vendorID="64" w:dllVersion="131078" w:nlCheck="1" w:checkStyle="0"/>
  <w:activeWritingStyle w:appName="MSWord" w:lang="en-I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E0"/>
    <w:rsid w:val="00001C1F"/>
    <w:rsid w:val="00002412"/>
    <w:rsid w:val="00003A45"/>
    <w:rsid w:val="00004AD6"/>
    <w:rsid w:val="0001023F"/>
    <w:rsid w:val="00011634"/>
    <w:rsid w:val="00011F87"/>
    <w:rsid w:val="00014B0D"/>
    <w:rsid w:val="0002462D"/>
    <w:rsid w:val="00027FA6"/>
    <w:rsid w:val="00030472"/>
    <w:rsid w:val="00044DB6"/>
    <w:rsid w:val="000456B0"/>
    <w:rsid w:val="00052994"/>
    <w:rsid w:val="00053AFF"/>
    <w:rsid w:val="0005462E"/>
    <w:rsid w:val="00056492"/>
    <w:rsid w:val="00060371"/>
    <w:rsid w:val="000606E3"/>
    <w:rsid w:val="00060792"/>
    <w:rsid w:val="00072BEC"/>
    <w:rsid w:val="00075DB5"/>
    <w:rsid w:val="000764FF"/>
    <w:rsid w:val="0008595A"/>
    <w:rsid w:val="000920A9"/>
    <w:rsid w:val="000B4127"/>
    <w:rsid w:val="000B5E78"/>
    <w:rsid w:val="000C0864"/>
    <w:rsid w:val="000C30C6"/>
    <w:rsid w:val="000D494F"/>
    <w:rsid w:val="000D6F03"/>
    <w:rsid w:val="000E180F"/>
    <w:rsid w:val="000E6BA2"/>
    <w:rsid w:val="000E74FE"/>
    <w:rsid w:val="000F3DBB"/>
    <w:rsid w:val="00102554"/>
    <w:rsid w:val="00105152"/>
    <w:rsid w:val="001054BE"/>
    <w:rsid w:val="001138E1"/>
    <w:rsid w:val="001223A5"/>
    <w:rsid w:val="00122E66"/>
    <w:rsid w:val="00125587"/>
    <w:rsid w:val="00126840"/>
    <w:rsid w:val="00133DD2"/>
    <w:rsid w:val="00142828"/>
    <w:rsid w:val="00144A12"/>
    <w:rsid w:val="001473D7"/>
    <w:rsid w:val="00154EBB"/>
    <w:rsid w:val="00171AF6"/>
    <w:rsid w:val="00174306"/>
    <w:rsid w:val="00182180"/>
    <w:rsid w:val="00193F33"/>
    <w:rsid w:val="00193F7F"/>
    <w:rsid w:val="001A2653"/>
    <w:rsid w:val="001A2703"/>
    <w:rsid w:val="001B2779"/>
    <w:rsid w:val="001B378C"/>
    <w:rsid w:val="001B7D4B"/>
    <w:rsid w:val="001C0444"/>
    <w:rsid w:val="001D1E1E"/>
    <w:rsid w:val="001E20A0"/>
    <w:rsid w:val="001E3B65"/>
    <w:rsid w:val="001E4602"/>
    <w:rsid w:val="001E68EC"/>
    <w:rsid w:val="001E70F8"/>
    <w:rsid w:val="001F08BF"/>
    <w:rsid w:val="001F582B"/>
    <w:rsid w:val="00201FC4"/>
    <w:rsid w:val="00205734"/>
    <w:rsid w:val="00212F88"/>
    <w:rsid w:val="002152B0"/>
    <w:rsid w:val="002214FD"/>
    <w:rsid w:val="00222B00"/>
    <w:rsid w:val="00223E8C"/>
    <w:rsid w:val="00233A11"/>
    <w:rsid w:val="002359CB"/>
    <w:rsid w:val="00235F26"/>
    <w:rsid w:val="00237BB0"/>
    <w:rsid w:val="002607B7"/>
    <w:rsid w:val="002610AA"/>
    <w:rsid w:val="00267AFC"/>
    <w:rsid w:val="0027689E"/>
    <w:rsid w:val="00276A6D"/>
    <w:rsid w:val="00276F96"/>
    <w:rsid w:val="002822CA"/>
    <w:rsid w:val="00283144"/>
    <w:rsid w:val="00286422"/>
    <w:rsid w:val="002914DE"/>
    <w:rsid w:val="00295A15"/>
    <w:rsid w:val="0029635B"/>
    <w:rsid w:val="002A6526"/>
    <w:rsid w:val="002A6C52"/>
    <w:rsid w:val="002B027C"/>
    <w:rsid w:val="002B0810"/>
    <w:rsid w:val="002B0BE4"/>
    <w:rsid w:val="002B361F"/>
    <w:rsid w:val="002C220A"/>
    <w:rsid w:val="002C2C9A"/>
    <w:rsid w:val="002C3797"/>
    <w:rsid w:val="002C5FCE"/>
    <w:rsid w:val="002D26C2"/>
    <w:rsid w:val="002E06A9"/>
    <w:rsid w:val="002E1927"/>
    <w:rsid w:val="002E1B09"/>
    <w:rsid w:val="002E4DA5"/>
    <w:rsid w:val="002F1A6B"/>
    <w:rsid w:val="002F1C5E"/>
    <w:rsid w:val="002F44B7"/>
    <w:rsid w:val="002F5342"/>
    <w:rsid w:val="00304B2D"/>
    <w:rsid w:val="003116AA"/>
    <w:rsid w:val="003131A0"/>
    <w:rsid w:val="003200F7"/>
    <w:rsid w:val="00325537"/>
    <w:rsid w:val="0032748C"/>
    <w:rsid w:val="00337D74"/>
    <w:rsid w:val="003442C5"/>
    <w:rsid w:val="00354650"/>
    <w:rsid w:val="00356404"/>
    <w:rsid w:val="00367D8A"/>
    <w:rsid w:val="00372F0D"/>
    <w:rsid w:val="00373673"/>
    <w:rsid w:val="0037490A"/>
    <w:rsid w:val="00377446"/>
    <w:rsid w:val="00377EE6"/>
    <w:rsid w:val="00381785"/>
    <w:rsid w:val="0038203D"/>
    <w:rsid w:val="00383280"/>
    <w:rsid w:val="00385153"/>
    <w:rsid w:val="003910FA"/>
    <w:rsid w:val="003A3772"/>
    <w:rsid w:val="003A7EFF"/>
    <w:rsid w:val="003B101F"/>
    <w:rsid w:val="003B1887"/>
    <w:rsid w:val="003B2482"/>
    <w:rsid w:val="003B2A66"/>
    <w:rsid w:val="003B3B75"/>
    <w:rsid w:val="003B4986"/>
    <w:rsid w:val="003C4587"/>
    <w:rsid w:val="003D003F"/>
    <w:rsid w:val="003D4FD8"/>
    <w:rsid w:val="003E089B"/>
    <w:rsid w:val="003E495C"/>
    <w:rsid w:val="003E53CB"/>
    <w:rsid w:val="003F7117"/>
    <w:rsid w:val="00400D4F"/>
    <w:rsid w:val="00405D74"/>
    <w:rsid w:val="00406F48"/>
    <w:rsid w:val="004154CA"/>
    <w:rsid w:val="00416CE5"/>
    <w:rsid w:val="00417DC1"/>
    <w:rsid w:val="004206F0"/>
    <w:rsid w:val="0042786F"/>
    <w:rsid w:val="004335F6"/>
    <w:rsid w:val="0044119D"/>
    <w:rsid w:val="00444C74"/>
    <w:rsid w:val="004453BA"/>
    <w:rsid w:val="004454C5"/>
    <w:rsid w:val="004510D4"/>
    <w:rsid w:val="00452503"/>
    <w:rsid w:val="00453510"/>
    <w:rsid w:val="004541E9"/>
    <w:rsid w:val="00455288"/>
    <w:rsid w:val="00461F57"/>
    <w:rsid w:val="004622B8"/>
    <w:rsid w:val="00463A24"/>
    <w:rsid w:val="00464285"/>
    <w:rsid w:val="00490B88"/>
    <w:rsid w:val="0049398A"/>
    <w:rsid w:val="004A2CC8"/>
    <w:rsid w:val="004A5E4E"/>
    <w:rsid w:val="004A5EEA"/>
    <w:rsid w:val="004A7F34"/>
    <w:rsid w:val="004B0CEC"/>
    <w:rsid w:val="004B228F"/>
    <w:rsid w:val="004C7629"/>
    <w:rsid w:val="004D1589"/>
    <w:rsid w:val="004D2F03"/>
    <w:rsid w:val="004D60AA"/>
    <w:rsid w:val="004E0CC9"/>
    <w:rsid w:val="00501755"/>
    <w:rsid w:val="005120E9"/>
    <w:rsid w:val="00512598"/>
    <w:rsid w:val="00512FED"/>
    <w:rsid w:val="005162EA"/>
    <w:rsid w:val="0052353C"/>
    <w:rsid w:val="0053531A"/>
    <w:rsid w:val="005361A5"/>
    <w:rsid w:val="005362AA"/>
    <w:rsid w:val="005372D0"/>
    <w:rsid w:val="00542F25"/>
    <w:rsid w:val="005453C6"/>
    <w:rsid w:val="00545895"/>
    <w:rsid w:val="00550150"/>
    <w:rsid w:val="0055208A"/>
    <w:rsid w:val="0055219E"/>
    <w:rsid w:val="005539FD"/>
    <w:rsid w:val="00560C1A"/>
    <w:rsid w:val="00581BAF"/>
    <w:rsid w:val="00582BE0"/>
    <w:rsid w:val="00590233"/>
    <w:rsid w:val="00595DCA"/>
    <w:rsid w:val="0059615E"/>
    <w:rsid w:val="0059654C"/>
    <w:rsid w:val="005A78F9"/>
    <w:rsid w:val="005B0F51"/>
    <w:rsid w:val="005B5B58"/>
    <w:rsid w:val="005C1F77"/>
    <w:rsid w:val="005D4354"/>
    <w:rsid w:val="005D7D1D"/>
    <w:rsid w:val="005D7D72"/>
    <w:rsid w:val="005F058E"/>
    <w:rsid w:val="005F1065"/>
    <w:rsid w:val="00603A11"/>
    <w:rsid w:val="00607246"/>
    <w:rsid w:val="0060733B"/>
    <w:rsid w:val="00614891"/>
    <w:rsid w:val="00621B64"/>
    <w:rsid w:val="006269BD"/>
    <w:rsid w:val="00634C06"/>
    <w:rsid w:val="00636BE8"/>
    <w:rsid w:val="00641890"/>
    <w:rsid w:val="006449A7"/>
    <w:rsid w:val="0064681E"/>
    <w:rsid w:val="00647611"/>
    <w:rsid w:val="00651748"/>
    <w:rsid w:val="00651E21"/>
    <w:rsid w:val="0065549F"/>
    <w:rsid w:val="00662191"/>
    <w:rsid w:val="006629EE"/>
    <w:rsid w:val="00664B70"/>
    <w:rsid w:val="006715B2"/>
    <w:rsid w:val="00671DD8"/>
    <w:rsid w:val="006737EC"/>
    <w:rsid w:val="006743C7"/>
    <w:rsid w:val="006760D4"/>
    <w:rsid w:val="00677383"/>
    <w:rsid w:val="00680A0C"/>
    <w:rsid w:val="0068726C"/>
    <w:rsid w:val="00696C29"/>
    <w:rsid w:val="00697C0E"/>
    <w:rsid w:val="006A6C1B"/>
    <w:rsid w:val="006A7082"/>
    <w:rsid w:val="006D1704"/>
    <w:rsid w:val="006E1544"/>
    <w:rsid w:val="006E426B"/>
    <w:rsid w:val="006F2D69"/>
    <w:rsid w:val="006F380C"/>
    <w:rsid w:val="006F3EB5"/>
    <w:rsid w:val="00702171"/>
    <w:rsid w:val="007102ED"/>
    <w:rsid w:val="00713641"/>
    <w:rsid w:val="007137B8"/>
    <w:rsid w:val="007141AE"/>
    <w:rsid w:val="00734D69"/>
    <w:rsid w:val="00745CA0"/>
    <w:rsid w:val="00750E71"/>
    <w:rsid w:val="007577D3"/>
    <w:rsid w:val="00757ABD"/>
    <w:rsid w:val="0076091B"/>
    <w:rsid w:val="00761AB3"/>
    <w:rsid w:val="00762DF4"/>
    <w:rsid w:val="007641A9"/>
    <w:rsid w:val="007669E8"/>
    <w:rsid w:val="00770465"/>
    <w:rsid w:val="00772926"/>
    <w:rsid w:val="00776888"/>
    <w:rsid w:val="00776993"/>
    <w:rsid w:val="00777641"/>
    <w:rsid w:val="007918A5"/>
    <w:rsid w:val="00793A47"/>
    <w:rsid w:val="007A2AB7"/>
    <w:rsid w:val="007B2441"/>
    <w:rsid w:val="007B40C7"/>
    <w:rsid w:val="007B4F64"/>
    <w:rsid w:val="007C08C3"/>
    <w:rsid w:val="007C2239"/>
    <w:rsid w:val="007C7307"/>
    <w:rsid w:val="007E0DD9"/>
    <w:rsid w:val="007E4037"/>
    <w:rsid w:val="007E6ED2"/>
    <w:rsid w:val="007F04FB"/>
    <w:rsid w:val="007F079C"/>
    <w:rsid w:val="007F781D"/>
    <w:rsid w:val="00810C71"/>
    <w:rsid w:val="00813ADF"/>
    <w:rsid w:val="00821DD0"/>
    <w:rsid w:val="00835469"/>
    <w:rsid w:val="00835C97"/>
    <w:rsid w:val="00837299"/>
    <w:rsid w:val="0084263C"/>
    <w:rsid w:val="00843D20"/>
    <w:rsid w:val="00846E8F"/>
    <w:rsid w:val="00847141"/>
    <w:rsid w:val="008473FC"/>
    <w:rsid w:val="00851A57"/>
    <w:rsid w:val="00852668"/>
    <w:rsid w:val="00856CF8"/>
    <w:rsid w:val="008604B7"/>
    <w:rsid w:val="00861B20"/>
    <w:rsid w:val="00861DE8"/>
    <w:rsid w:val="00870D8E"/>
    <w:rsid w:val="00872530"/>
    <w:rsid w:val="008729B1"/>
    <w:rsid w:val="00872DEA"/>
    <w:rsid w:val="00875137"/>
    <w:rsid w:val="00875605"/>
    <w:rsid w:val="00875ACE"/>
    <w:rsid w:val="00892D8B"/>
    <w:rsid w:val="00892F70"/>
    <w:rsid w:val="00896112"/>
    <w:rsid w:val="008969FD"/>
    <w:rsid w:val="00897045"/>
    <w:rsid w:val="008A5DE8"/>
    <w:rsid w:val="008B29A8"/>
    <w:rsid w:val="008B6F47"/>
    <w:rsid w:val="008B73E4"/>
    <w:rsid w:val="008C2BBB"/>
    <w:rsid w:val="008C42FF"/>
    <w:rsid w:val="008C58E5"/>
    <w:rsid w:val="008D114F"/>
    <w:rsid w:val="008D2D66"/>
    <w:rsid w:val="008D3E67"/>
    <w:rsid w:val="008D7F7D"/>
    <w:rsid w:val="008E017E"/>
    <w:rsid w:val="008E3CD4"/>
    <w:rsid w:val="008E4DB9"/>
    <w:rsid w:val="008E72D8"/>
    <w:rsid w:val="008E7FE7"/>
    <w:rsid w:val="008F0003"/>
    <w:rsid w:val="009024CA"/>
    <w:rsid w:val="009139DF"/>
    <w:rsid w:val="009141F9"/>
    <w:rsid w:val="00920A2C"/>
    <w:rsid w:val="0094213A"/>
    <w:rsid w:val="00943D04"/>
    <w:rsid w:val="009443D4"/>
    <w:rsid w:val="009502B9"/>
    <w:rsid w:val="009534A0"/>
    <w:rsid w:val="00957068"/>
    <w:rsid w:val="00957415"/>
    <w:rsid w:val="009603C7"/>
    <w:rsid w:val="009637A2"/>
    <w:rsid w:val="0096452A"/>
    <w:rsid w:val="00966972"/>
    <w:rsid w:val="00966B56"/>
    <w:rsid w:val="00967B2A"/>
    <w:rsid w:val="00971A9D"/>
    <w:rsid w:val="00974F0E"/>
    <w:rsid w:val="009819ED"/>
    <w:rsid w:val="009838C2"/>
    <w:rsid w:val="009863CD"/>
    <w:rsid w:val="00994035"/>
    <w:rsid w:val="00996809"/>
    <w:rsid w:val="009A4F28"/>
    <w:rsid w:val="009A543E"/>
    <w:rsid w:val="009B093A"/>
    <w:rsid w:val="009B32F3"/>
    <w:rsid w:val="009B4493"/>
    <w:rsid w:val="009B5046"/>
    <w:rsid w:val="009C2986"/>
    <w:rsid w:val="009C46F4"/>
    <w:rsid w:val="009D687F"/>
    <w:rsid w:val="009D7934"/>
    <w:rsid w:val="009D7B34"/>
    <w:rsid w:val="009F6350"/>
    <w:rsid w:val="009F7E8F"/>
    <w:rsid w:val="00A11F97"/>
    <w:rsid w:val="00A16B01"/>
    <w:rsid w:val="00A21D02"/>
    <w:rsid w:val="00A3275E"/>
    <w:rsid w:val="00A33E45"/>
    <w:rsid w:val="00A34484"/>
    <w:rsid w:val="00A354F3"/>
    <w:rsid w:val="00A37FE0"/>
    <w:rsid w:val="00A46778"/>
    <w:rsid w:val="00A47440"/>
    <w:rsid w:val="00A520B4"/>
    <w:rsid w:val="00A54353"/>
    <w:rsid w:val="00A56674"/>
    <w:rsid w:val="00A57727"/>
    <w:rsid w:val="00A636CA"/>
    <w:rsid w:val="00A63ABC"/>
    <w:rsid w:val="00A740D2"/>
    <w:rsid w:val="00A745E7"/>
    <w:rsid w:val="00A76686"/>
    <w:rsid w:val="00A82962"/>
    <w:rsid w:val="00A8402B"/>
    <w:rsid w:val="00A90BA3"/>
    <w:rsid w:val="00A94559"/>
    <w:rsid w:val="00A95479"/>
    <w:rsid w:val="00A95B68"/>
    <w:rsid w:val="00A96A37"/>
    <w:rsid w:val="00AA1282"/>
    <w:rsid w:val="00AA134E"/>
    <w:rsid w:val="00AA260F"/>
    <w:rsid w:val="00AB4A79"/>
    <w:rsid w:val="00AB6B18"/>
    <w:rsid w:val="00AC301F"/>
    <w:rsid w:val="00AC326F"/>
    <w:rsid w:val="00AC6446"/>
    <w:rsid w:val="00AE1B45"/>
    <w:rsid w:val="00AE6D5F"/>
    <w:rsid w:val="00AF0A80"/>
    <w:rsid w:val="00AF0E47"/>
    <w:rsid w:val="00AF1B19"/>
    <w:rsid w:val="00AF5188"/>
    <w:rsid w:val="00B01B7C"/>
    <w:rsid w:val="00B04CCE"/>
    <w:rsid w:val="00B06C11"/>
    <w:rsid w:val="00B14198"/>
    <w:rsid w:val="00B22C68"/>
    <w:rsid w:val="00B2384A"/>
    <w:rsid w:val="00B26DC3"/>
    <w:rsid w:val="00B33C73"/>
    <w:rsid w:val="00B367FD"/>
    <w:rsid w:val="00B40BC1"/>
    <w:rsid w:val="00B43832"/>
    <w:rsid w:val="00B46C6F"/>
    <w:rsid w:val="00B470EF"/>
    <w:rsid w:val="00B551F2"/>
    <w:rsid w:val="00B5717E"/>
    <w:rsid w:val="00B57AE7"/>
    <w:rsid w:val="00B67E1F"/>
    <w:rsid w:val="00B84E38"/>
    <w:rsid w:val="00B9561F"/>
    <w:rsid w:val="00BA3277"/>
    <w:rsid w:val="00BB147A"/>
    <w:rsid w:val="00BB7DDA"/>
    <w:rsid w:val="00BC0DB8"/>
    <w:rsid w:val="00BC2938"/>
    <w:rsid w:val="00BD4B7D"/>
    <w:rsid w:val="00BD5D49"/>
    <w:rsid w:val="00BD6709"/>
    <w:rsid w:val="00BE3D6D"/>
    <w:rsid w:val="00BE4036"/>
    <w:rsid w:val="00BF2092"/>
    <w:rsid w:val="00BF21E8"/>
    <w:rsid w:val="00BF3687"/>
    <w:rsid w:val="00C07C89"/>
    <w:rsid w:val="00C12A62"/>
    <w:rsid w:val="00C13A9D"/>
    <w:rsid w:val="00C1795F"/>
    <w:rsid w:val="00C215D1"/>
    <w:rsid w:val="00C21EB6"/>
    <w:rsid w:val="00C25222"/>
    <w:rsid w:val="00C27E0D"/>
    <w:rsid w:val="00C31AD8"/>
    <w:rsid w:val="00C33A0C"/>
    <w:rsid w:val="00C42A4B"/>
    <w:rsid w:val="00C44957"/>
    <w:rsid w:val="00C44A1B"/>
    <w:rsid w:val="00C476FA"/>
    <w:rsid w:val="00C47835"/>
    <w:rsid w:val="00C47D5A"/>
    <w:rsid w:val="00C533B8"/>
    <w:rsid w:val="00C53F7C"/>
    <w:rsid w:val="00C558D7"/>
    <w:rsid w:val="00C646A7"/>
    <w:rsid w:val="00C81C4A"/>
    <w:rsid w:val="00C847A6"/>
    <w:rsid w:val="00C84D9C"/>
    <w:rsid w:val="00C93937"/>
    <w:rsid w:val="00C95064"/>
    <w:rsid w:val="00CA4145"/>
    <w:rsid w:val="00CA7BEB"/>
    <w:rsid w:val="00CB0072"/>
    <w:rsid w:val="00CB05BB"/>
    <w:rsid w:val="00CB1889"/>
    <w:rsid w:val="00CB3F7E"/>
    <w:rsid w:val="00CB6386"/>
    <w:rsid w:val="00CB6BED"/>
    <w:rsid w:val="00CB6FEB"/>
    <w:rsid w:val="00CC07D5"/>
    <w:rsid w:val="00CE0478"/>
    <w:rsid w:val="00CE049C"/>
    <w:rsid w:val="00CF37C8"/>
    <w:rsid w:val="00D002CB"/>
    <w:rsid w:val="00D13F28"/>
    <w:rsid w:val="00D14AD8"/>
    <w:rsid w:val="00D1690A"/>
    <w:rsid w:val="00D216C0"/>
    <w:rsid w:val="00D27CE5"/>
    <w:rsid w:val="00D319C1"/>
    <w:rsid w:val="00D34CF1"/>
    <w:rsid w:val="00D3651B"/>
    <w:rsid w:val="00D41070"/>
    <w:rsid w:val="00D46370"/>
    <w:rsid w:val="00D518A4"/>
    <w:rsid w:val="00D5190D"/>
    <w:rsid w:val="00D5299A"/>
    <w:rsid w:val="00D65C7E"/>
    <w:rsid w:val="00D71681"/>
    <w:rsid w:val="00D719C9"/>
    <w:rsid w:val="00D74EE8"/>
    <w:rsid w:val="00D75B5C"/>
    <w:rsid w:val="00D80479"/>
    <w:rsid w:val="00D8195C"/>
    <w:rsid w:val="00D856AC"/>
    <w:rsid w:val="00DA4B4E"/>
    <w:rsid w:val="00DB032E"/>
    <w:rsid w:val="00DB4BBD"/>
    <w:rsid w:val="00DB4E48"/>
    <w:rsid w:val="00DB765B"/>
    <w:rsid w:val="00DC5D30"/>
    <w:rsid w:val="00DC78DC"/>
    <w:rsid w:val="00DD191A"/>
    <w:rsid w:val="00DD1AE2"/>
    <w:rsid w:val="00DD4B56"/>
    <w:rsid w:val="00DD7B7A"/>
    <w:rsid w:val="00DE401A"/>
    <w:rsid w:val="00DF10B7"/>
    <w:rsid w:val="00DF4EA2"/>
    <w:rsid w:val="00E05DC4"/>
    <w:rsid w:val="00E071B9"/>
    <w:rsid w:val="00E12F6A"/>
    <w:rsid w:val="00E16932"/>
    <w:rsid w:val="00E21DE4"/>
    <w:rsid w:val="00E22844"/>
    <w:rsid w:val="00E259BA"/>
    <w:rsid w:val="00E368F7"/>
    <w:rsid w:val="00E36B87"/>
    <w:rsid w:val="00E3733F"/>
    <w:rsid w:val="00E40C6A"/>
    <w:rsid w:val="00E41AD1"/>
    <w:rsid w:val="00E43E6C"/>
    <w:rsid w:val="00E5120B"/>
    <w:rsid w:val="00E544F1"/>
    <w:rsid w:val="00E5569B"/>
    <w:rsid w:val="00E73B46"/>
    <w:rsid w:val="00E75F97"/>
    <w:rsid w:val="00E81F23"/>
    <w:rsid w:val="00E85BFB"/>
    <w:rsid w:val="00E86EC9"/>
    <w:rsid w:val="00E87B78"/>
    <w:rsid w:val="00E96D5A"/>
    <w:rsid w:val="00EA04DE"/>
    <w:rsid w:val="00EA3511"/>
    <w:rsid w:val="00EA36F0"/>
    <w:rsid w:val="00EB1F68"/>
    <w:rsid w:val="00EB484C"/>
    <w:rsid w:val="00EC09EC"/>
    <w:rsid w:val="00EC1C27"/>
    <w:rsid w:val="00EC3DDC"/>
    <w:rsid w:val="00EC5640"/>
    <w:rsid w:val="00EC7BAF"/>
    <w:rsid w:val="00ED636A"/>
    <w:rsid w:val="00EE23BD"/>
    <w:rsid w:val="00EE7DE7"/>
    <w:rsid w:val="00EF1310"/>
    <w:rsid w:val="00EF2B5C"/>
    <w:rsid w:val="00F026AB"/>
    <w:rsid w:val="00F044FA"/>
    <w:rsid w:val="00F27F3D"/>
    <w:rsid w:val="00F425F6"/>
    <w:rsid w:val="00F4498E"/>
    <w:rsid w:val="00F51FD4"/>
    <w:rsid w:val="00F60C03"/>
    <w:rsid w:val="00F64A22"/>
    <w:rsid w:val="00F67161"/>
    <w:rsid w:val="00F6722F"/>
    <w:rsid w:val="00F67468"/>
    <w:rsid w:val="00F723D5"/>
    <w:rsid w:val="00F7340B"/>
    <w:rsid w:val="00F74AE1"/>
    <w:rsid w:val="00F74FE7"/>
    <w:rsid w:val="00F75FD7"/>
    <w:rsid w:val="00F77045"/>
    <w:rsid w:val="00F77324"/>
    <w:rsid w:val="00F77A5E"/>
    <w:rsid w:val="00F81A49"/>
    <w:rsid w:val="00F90C52"/>
    <w:rsid w:val="00F92180"/>
    <w:rsid w:val="00F93C1D"/>
    <w:rsid w:val="00FA0AA5"/>
    <w:rsid w:val="00FA5161"/>
    <w:rsid w:val="00FB21D8"/>
    <w:rsid w:val="00FC3483"/>
    <w:rsid w:val="00FC3C32"/>
    <w:rsid w:val="00FC3E13"/>
    <w:rsid w:val="00FD5716"/>
    <w:rsid w:val="00FE7E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5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BE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BE0"/>
  </w:style>
  <w:style w:type="paragraph" w:styleId="Footer">
    <w:name w:val="footer"/>
    <w:basedOn w:val="Normal"/>
    <w:link w:val="FooterChar"/>
    <w:uiPriority w:val="99"/>
    <w:unhideWhenUsed/>
    <w:rsid w:val="0058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BE0"/>
  </w:style>
  <w:style w:type="paragraph" w:styleId="ListParagraph">
    <w:name w:val="List Paragraph"/>
    <w:basedOn w:val="Normal"/>
    <w:uiPriority w:val="34"/>
    <w:qFormat/>
    <w:rsid w:val="00C42A4B"/>
    <w:pPr>
      <w:spacing w:after="200" w:line="276" w:lineRule="auto"/>
      <w:ind w:left="720"/>
      <w:contextualSpacing/>
    </w:pPr>
    <w:rPr>
      <w:lang w:val="en-US"/>
    </w:rPr>
  </w:style>
  <w:style w:type="table" w:styleId="TableGrid">
    <w:name w:val="Table Grid"/>
    <w:basedOn w:val="TableNormal"/>
    <w:uiPriority w:val="59"/>
    <w:rsid w:val="00DD4B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DD4B56"/>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DD4B56"/>
    <w:rPr>
      <w:sz w:val="20"/>
      <w:szCs w:val="20"/>
      <w:lang w:val="en-US"/>
    </w:rPr>
  </w:style>
  <w:style w:type="character" w:styleId="Hyperlink">
    <w:name w:val="Hyperlink"/>
    <w:basedOn w:val="DefaultParagraphFont"/>
    <w:uiPriority w:val="99"/>
    <w:unhideWhenUsed/>
    <w:rsid w:val="00144A12"/>
    <w:rPr>
      <w:color w:val="0563C1" w:themeColor="hyperlink"/>
      <w:u w:val="single"/>
    </w:rPr>
  </w:style>
  <w:style w:type="character" w:styleId="CommentReference">
    <w:name w:val="annotation reference"/>
    <w:basedOn w:val="DefaultParagraphFont"/>
    <w:uiPriority w:val="99"/>
    <w:semiHidden/>
    <w:unhideWhenUsed/>
    <w:rsid w:val="0055219E"/>
    <w:rPr>
      <w:sz w:val="16"/>
      <w:szCs w:val="16"/>
    </w:rPr>
  </w:style>
  <w:style w:type="paragraph" w:styleId="CommentSubject">
    <w:name w:val="annotation subject"/>
    <w:basedOn w:val="CommentText"/>
    <w:next w:val="CommentText"/>
    <w:link w:val="CommentSubjectChar"/>
    <w:uiPriority w:val="99"/>
    <w:semiHidden/>
    <w:unhideWhenUsed/>
    <w:rsid w:val="0055219E"/>
    <w:pPr>
      <w:spacing w:after="160"/>
    </w:pPr>
    <w:rPr>
      <w:b/>
      <w:bCs/>
      <w:lang w:val="en-IE"/>
    </w:rPr>
  </w:style>
  <w:style w:type="character" w:customStyle="1" w:styleId="CommentSubjectChar">
    <w:name w:val="Comment Subject Char"/>
    <w:basedOn w:val="CommentTextChar"/>
    <w:link w:val="CommentSubject"/>
    <w:uiPriority w:val="99"/>
    <w:semiHidden/>
    <w:rsid w:val="0055219E"/>
    <w:rPr>
      <w:b/>
      <w:bCs/>
      <w:sz w:val="20"/>
      <w:szCs w:val="20"/>
      <w:lang w:val="en-US"/>
    </w:rPr>
  </w:style>
  <w:style w:type="paragraph" w:styleId="BalloonText">
    <w:name w:val="Balloon Text"/>
    <w:basedOn w:val="Normal"/>
    <w:link w:val="BalloonTextChar"/>
    <w:uiPriority w:val="99"/>
    <w:semiHidden/>
    <w:unhideWhenUsed/>
    <w:rsid w:val="0055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9E"/>
    <w:rPr>
      <w:rFonts w:ascii="Tahoma" w:hAnsi="Tahoma" w:cs="Tahoma"/>
      <w:sz w:val="16"/>
      <w:szCs w:val="16"/>
    </w:rPr>
  </w:style>
  <w:style w:type="character" w:styleId="Strong">
    <w:name w:val="Strong"/>
    <w:basedOn w:val="DefaultParagraphFont"/>
    <w:uiPriority w:val="22"/>
    <w:qFormat/>
    <w:rsid w:val="00C33A0C"/>
    <w:rPr>
      <w:b/>
      <w:bCs/>
    </w:rPr>
  </w:style>
  <w:style w:type="character" w:customStyle="1" w:styleId="Heading1Char">
    <w:name w:val="Heading 1 Char"/>
    <w:basedOn w:val="DefaultParagraphFont"/>
    <w:link w:val="Heading1"/>
    <w:uiPriority w:val="9"/>
    <w:rsid w:val="00072BE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1651">
      <w:bodyDiv w:val="1"/>
      <w:marLeft w:val="0"/>
      <w:marRight w:val="0"/>
      <w:marTop w:val="0"/>
      <w:marBottom w:val="0"/>
      <w:divBdr>
        <w:top w:val="none" w:sz="0" w:space="0" w:color="auto"/>
        <w:left w:val="none" w:sz="0" w:space="0" w:color="auto"/>
        <w:bottom w:val="none" w:sz="0" w:space="0" w:color="auto"/>
        <w:right w:val="none" w:sz="0" w:space="0" w:color="auto"/>
      </w:divBdr>
    </w:div>
    <w:div w:id="1220550475">
      <w:bodyDiv w:val="1"/>
      <w:marLeft w:val="0"/>
      <w:marRight w:val="0"/>
      <w:marTop w:val="0"/>
      <w:marBottom w:val="0"/>
      <w:divBdr>
        <w:top w:val="none" w:sz="0" w:space="0" w:color="auto"/>
        <w:left w:val="none" w:sz="0" w:space="0" w:color="auto"/>
        <w:bottom w:val="none" w:sz="0" w:space="0" w:color="auto"/>
        <w:right w:val="none" w:sz="0" w:space="0" w:color="auto"/>
      </w:divBdr>
    </w:div>
    <w:div w:id="1537739635">
      <w:bodyDiv w:val="1"/>
      <w:marLeft w:val="0"/>
      <w:marRight w:val="0"/>
      <w:marTop w:val="0"/>
      <w:marBottom w:val="0"/>
      <w:divBdr>
        <w:top w:val="none" w:sz="0" w:space="0" w:color="auto"/>
        <w:left w:val="none" w:sz="0" w:space="0" w:color="auto"/>
        <w:bottom w:val="none" w:sz="0" w:space="0" w:color="auto"/>
        <w:right w:val="none" w:sz="0" w:space="0" w:color="auto"/>
      </w:divBdr>
    </w:div>
    <w:div w:id="1839006265">
      <w:bodyDiv w:val="1"/>
      <w:marLeft w:val="0"/>
      <w:marRight w:val="0"/>
      <w:marTop w:val="0"/>
      <w:marBottom w:val="0"/>
      <w:divBdr>
        <w:top w:val="none" w:sz="0" w:space="0" w:color="auto"/>
        <w:left w:val="none" w:sz="0" w:space="0" w:color="auto"/>
        <w:bottom w:val="none" w:sz="0" w:space="0" w:color="auto"/>
        <w:right w:val="none" w:sz="0" w:space="0" w:color="auto"/>
      </w:divBdr>
    </w:div>
    <w:div w:id="18517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44342E-F362-4448-9F02-8EDD437F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1784</Words>
  <Characters>10175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Sexton</dc:creator>
  <cp:lastModifiedBy>Microsoft Office User</cp:lastModifiedBy>
  <cp:revision>4</cp:revision>
  <cp:lastPrinted>2019-05-22T12:28:00Z</cp:lastPrinted>
  <dcterms:created xsi:type="dcterms:W3CDTF">2019-09-24T13:43:00Z</dcterms:created>
  <dcterms:modified xsi:type="dcterms:W3CDTF">2019-12-06T09:07:00Z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eithnesexton@gmail.com@www.mendeley.com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http://www.zotero.org/styles/stroke</vt:lpwstr>
  </property>
  <property fmtid="{D5CDD505-2E9C-101B-9397-08002B2CF9AE}" pid="19" name="Mendeley Recent Style Name 7_1">
    <vt:lpwstr>Stroke</vt:lpwstr>
  </property>
  <property fmtid="{D5CDD505-2E9C-101B-9397-08002B2CF9AE}" pid="20" name="Mendeley Recent Style Id 8_1">
    <vt:lpwstr>http://www.zotero.org/styles/value-in-health</vt:lpwstr>
  </property>
  <property fmtid="{D5CDD505-2E9C-101B-9397-08002B2CF9AE}" pid="21" name="Mendeley Recent Style Name 8_1">
    <vt:lpwstr>Value in Health</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http://www.zotero.org/styles/value-in-health</vt:lpwstr>
  </property>
</Properties>
</file>