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4AB4" w14:textId="77777777" w:rsidR="00156666" w:rsidRPr="00B5015F" w:rsidRDefault="00156666" w:rsidP="00156666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</w:pPr>
      <w:r w:rsidRPr="00C65C11">
        <w:rPr>
          <w:rFonts w:asciiTheme="minorHAnsi" w:hAnsiTheme="minorHAnsi" w:cstheme="minorHAnsi"/>
          <w:b/>
          <w:bCs/>
          <w:sz w:val="22"/>
          <w:szCs w:val="22"/>
          <w:lang w:val="en-US"/>
        </w:rPr>
        <w:t>Supplementary Table S1.</w:t>
      </w:r>
      <w:r w:rsidRPr="00B5015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5015F">
        <w:rPr>
          <w:rFonts w:asciiTheme="minorHAnsi" w:eastAsia="HGPSoeiKakugothicUB" w:hAnsiTheme="minorHAnsi" w:cstheme="minorHAnsi"/>
          <w:bCs/>
          <w:color w:val="000000" w:themeColor="text1"/>
          <w:kern w:val="24"/>
          <w:sz w:val="22"/>
          <w:szCs w:val="22"/>
          <w:lang w:val="en-US" w:eastAsia="en-US"/>
        </w:rPr>
        <w:t>Univariable and multivariable analyses of clinicopathologic factors for RFS by individual 55GC subgroups.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04"/>
        <w:gridCol w:w="2532"/>
        <w:gridCol w:w="1253"/>
        <w:gridCol w:w="2130"/>
        <w:gridCol w:w="1147"/>
        <w:gridCol w:w="849"/>
        <w:gridCol w:w="2127"/>
        <w:gridCol w:w="1016"/>
      </w:tblGrid>
      <w:tr w:rsidR="00156666" w:rsidRPr="00B5015F" w14:paraId="4D17FAE0" w14:textId="77777777" w:rsidTr="00207F2F">
        <w:trPr>
          <w:trHeight w:val="376"/>
        </w:trPr>
        <w:tc>
          <w:tcPr>
            <w:tcW w:w="1947" w:type="pct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FEA857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FFFFFF" w:themeColor="background1"/>
                <w:kern w:val="24"/>
              </w:rPr>
              <w:t>Variable</w:t>
            </w:r>
          </w:p>
        </w:tc>
        <w:tc>
          <w:tcPr>
            <w:tcW w:w="1623" w:type="pct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8D005A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FFFFFF" w:themeColor="light1"/>
                <w:kern w:val="24"/>
              </w:rPr>
              <w:t>Univariable analysis</w:t>
            </w:r>
          </w:p>
        </w:tc>
        <w:tc>
          <w:tcPr>
            <w:tcW w:w="1430" w:type="pct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534202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FFFFFF" w:themeColor="light1"/>
                <w:kern w:val="24"/>
              </w:rPr>
              <w:t>Multivariable analysis</w:t>
            </w:r>
          </w:p>
        </w:tc>
      </w:tr>
      <w:tr w:rsidR="00156666" w:rsidRPr="00B5015F" w14:paraId="4D5B7037" w14:textId="77777777" w:rsidTr="00207F2F">
        <w:trPr>
          <w:trHeight w:val="510"/>
        </w:trPr>
        <w:tc>
          <w:tcPr>
            <w:tcW w:w="1040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004D66" w14:textId="77777777" w:rsidR="00156666" w:rsidRPr="00B5015F" w:rsidRDefault="00156666" w:rsidP="00207F2F">
            <w:pPr>
              <w:spacing w:after="0" w:line="360" w:lineRule="auto"/>
              <w:rPr>
                <w:rFonts w:eastAsia="Times New Roman" w:cstheme="minorHAnsi"/>
              </w:rPr>
            </w:pPr>
          </w:p>
        </w:tc>
        <w:tc>
          <w:tcPr>
            <w:tcW w:w="907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A61CB8" w14:textId="77777777" w:rsidR="00156666" w:rsidRPr="00B5015F" w:rsidRDefault="00156666" w:rsidP="00207F2F">
            <w:pPr>
              <w:spacing w:after="0" w:line="360" w:lineRule="auto"/>
              <w:rPr>
                <w:rFonts w:eastAsia="Times New Roman" w:cstheme="minorHAnsi"/>
              </w:rPr>
            </w:pPr>
          </w:p>
        </w:tc>
        <w:tc>
          <w:tcPr>
            <w:tcW w:w="449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A89070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FFFFFF" w:themeColor="background1"/>
                <w:kern w:val="24"/>
              </w:rPr>
              <w:t>HR</w:t>
            </w:r>
          </w:p>
        </w:tc>
        <w:tc>
          <w:tcPr>
            <w:tcW w:w="763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BA1179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FFFFFF" w:themeColor="background1"/>
                <w:kern w:val="24"/>
              </w:rPr>
              <w:t>95% CI</w:t>
            </w:r>
          </w:p>
        </w:tc>
        <w:tc>
          <w:tcPr>
            <w:tcW w:w="411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3D214E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i/>
                <w:iCs/>
                <w:color w:val="FFFFFF" w:themeColor="background1"/>
                <w:kern w:val="24"/>
              </w:rPr>
              <w:t>P</w:t>
            </w:r>
          </w:p>
        </w:tc>
        <w:tc>
          <w:tcPr>
            <w:tcW w:w="304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3378B6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FFFFFF" w:themeColor="background1"/>
                <w:kern w:val="24"/>
              </w:rPr>
              <w:t>HR</w:t>
            </w:r>
          </w:p>
        </w:tc>
        <w:tc>
          <w:tcPr>
            <w:tcW w:w="762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AAD3FB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FFFFFF" w:themeColor="background1"/>
                <w:kern w:val="24"/>
              </w:rPr>
              <w:t>95% CI</w:t>
            </w:r>
          </w:p>
        </w:tc>
        <w:tc>
          <w:tcPr>
            <w:tcW w:w="364" w:type="pc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2D2D8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931362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i/>
                <w:iCs/>
                <w:color w:val="FFFFFF" w:themeColor="background1"/>
                <w:kern w:val="24"/>
              </w:rPr>
              <w:t>P</w:t>
            </w:r>
          </w:p>
        </w:tc>
      </w:tr>
      <w:tr w:rsidR="00156666" w:rsidRPr="00B5015F" w14:paraId="258EEE6D" w14:textId="77777777" w:rsidTr="00207F2F">
        <w:trPr>
          <w:trHeight w:val="412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ECD11C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Age (years)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1F04EC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&lt; 70</w:t>
            </w:r>
            <w:r w:rsidRPr="00B5015F">
              <w:rPr>
                <w:rFonts w:eastAsia="MS Gothic" w:cstheme="minorHAnsi"/>
                <w:color w:val="000000" w:themeColor="text1"/>
                <w:kern w:val="24"/>
                <w:lang w:eastAsia="ja-JP"/>
              </w:rPr>
              <w:t xml:space="preserve">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≥ 70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0CC533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0.957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F60BD8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0.519 to 1.764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3140E6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0.8876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9392D2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743EE8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9E2219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56666" w:rsidRPr="00B5015F" w14:paraId="25DEC56A" w14:textId="77777777" w:rsidTr="00207F2F">
        <w:trPr>
          <w:trHeight w:val="43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5DA12A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Sex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FCB2BB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male</w:t>
            </w:r>
            <w:r w:rsidRPr="00B5015F">
              <w:rPr>
                <w:rFonts w:eastAsia="MS Gothic" w:cstheme="minorHAnsi"/>
                <w:color w:val="000000" w:themeColor="text1"/>
                <w:kern w:val="24"/>
                <w:lang w:eastAsia="ja-JP"/>
              </w:rPr>
              <w:t xml:space="preserve">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female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618E1E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0.758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95FB1A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0.416 to 1.379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CEE4FF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0.3638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33C83A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953EC0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9511F5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56666" w:rsidRPr="00B5015F" w14:paraId="38042235" w14:textId="77777777" w:rsidTr="00207F2F">
        <w:trPr>
          <w:trHeight w:val="43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482C14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Preoperative CEA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CFDA6C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≥ 5.0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&lt; 5.0 ng/mL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FB5572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1.233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09EC0E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0.664 to 2.290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B18F74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0.5068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D94216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C923E1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723912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56666" w:rsidRPr="00B5015F" w14:paraId="3AC29345" w14:textId="77777777" w:rsidTr="00207F2F">
        <w:trPr>
          <w:trHeight w:val="34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A12DB6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Tumor location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636C84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right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left colon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46F625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0.768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5DBC63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0.410 to 1.438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10FEBA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0.4093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08FA76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7D795B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2A54E89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56666" w:rsidRPr="00B5015F" w14:paraId="0731170C" w14:textId="77777777" w:rsidTr="00207F2F">
        <w:trPr>
          <w:trHeight w:val="34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98A312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T stage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B4BDAF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T4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T3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DDBBBD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2.281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782158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1.056 to 4.929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40515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0.0359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63E7D8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2.436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C234FD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1.122 to 5.288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77C0ED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0.0244</w:t>
            </w:r>
          </w:p>
        </w:tc>
      </w:tr>
      <w:tr w:rsidR="00156666" w:rsidRPr="00B5015F" w14:paraId="45A74A36" w14:textId="77777777" w:rsidTr="00207F2F">
        <w:trPr>
          <w:trHeight w:val="34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4DDDC3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Histology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41305F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muc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non muc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E97EA3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0.644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ABF531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0.089 to 4.680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EA1CF2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0.6634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6564B0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D4A455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B1160A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56666" w:rsidRPr="00B5015F" w14:paraId="5EC59CE2" w14:textId="77777777" w:rsidTr="00207F2F">
        <w:trPr>
          <w:trHeight w:val="43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D6C585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Tumor grade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64593A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por &amp; muc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tub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C00512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0.293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8F7F3F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0.040 to 2.130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116987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0.2253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0A517D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E4DC09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DA24E1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56666" w:rsidRPr="00B5015F" w14:paraId="4FB366CB" w14:textId="77777777" w:rsidTr="00207F2F">
        <w:trPr>
          <w:trHeight w:val="34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207F70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Lymphatic invasion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C5D6C3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positive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negative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CCBFF9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1.853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ED71B9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1.012 to 3.395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309DE0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0.0457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2561C8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51378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68A5F4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56666" w:rsidRPr="00B5015F" w14:paraId="1CC45D9E" w14:textId="77777777" w:rsidTr="00207F2F">
        <w:trPr>
          <w:trHeight w:val="34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7B5BD4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Venous invasion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EA4F1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positive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negative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8A6B9F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2.312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94F83D5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1.108 to 4.823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8170BF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0.0255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CF3EA8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382D4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DEEA03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56666" w:rsidRPr="00B5015F" w14:paraId="4B14E2FF" w14:textId="77777777" w:rsidTr="00207F2F">
        <w:trPr>
          <w:trHeight w:val="34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4838C9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Nodes examined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B74E4F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&lt; 12</w:t>
            </w:r>
            <w:r w:rsidRPr="00B5015F">
              <w:rPr>
                <w:rFonts w:eastAsia="MS Gothic" w:cstheme="minorHAnsi"/>
                <w:color w:val="000000" w:themeColor="text1"/>
                <w:kern w:val="24"/>
                <w:lang w:eastAsia="ja-JP"/>
              </w:rPr>
              <w:t xml:space="preserve">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≥ 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441DFF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2.092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3F6553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1.053 to 4.156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1F0902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0.0351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A94A25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2.235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8E6507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1.120 to 4.461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C6937C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0.0226</w:t>
            </w:r>
          </w:p>
        </w:tc>
      </w:tr>
      <w:tr w:rsidR="00156666" w:rsidRPr="00B5015F" w14:paraId="5F8B53B6" w14:textId="77777777" w:rsidTr="00207F2F">
        <w:trPr>
          <w:trHeight w:val="34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554080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MMR status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9875F9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deficient </w:t>
            </w:r>
            <w:r w:rsidRPr="00B5015F">
              <w:rPr>
                <w:rFonts w:eastAsia="MS Gothic" w:cstheme="minorHAnsi"/>
                <w:i/>
                <w:iCs/>
                <w:color w:val="000000" w:themeColor="text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text1"/>
                <w:kern w:val="24"/>
              </w:rPr>
              <w:t xml:space="preserve"> proficient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F29485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0.188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387B99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0.026 to 1.364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EA68C9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text1"/>
                <w:kern w:val="24"/>
              </w:rPr>
              <w:t>0.0983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C2B672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CDDFB93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08E6CF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  <w:tr w:rsidR="00156666" w:rsidRPr="00B5015F" w14:paraId="71BF4A06" w14:textId="77777777" w:rsidTr="00207F2F">
        <w:trPr>
          <w:trHeight w:val="43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175603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55GC subtype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4BBCAF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 xml:space="preserve">CIN-like </w:t>
            </w:r>
            <w:r w:rsidRPr="00B5015F">
              <w:rPr>
                <w:rFonts w:eastAsia="MS Gothic" w:cstheme="minorHAnsi"/>
                <w:i/>
                <w:iCs/>
                <w:color w:val="000000" w:themeColor="dark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dark1"/>
                <w:kern w:val="24"/>
              </w:rPr>
              <w:t xml:space="preserve"> MSI-like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924856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Theme="minorEastAsia" w:cstheme="minorHAnsi"/>
                <w:color w:val="000000" w:themeColor="dark1"/>
                <w:kern w:val="24"/>
              </w:rPr>
              <w:t>1.407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EDDF04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0.573 to 3.451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9152C7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0.4560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216A37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Theme="minorEastAsia" w:cstheme="minorHAnsi"/>
                <w:color w:val="000000" w:themeColor="dark1"/>
                <w:kern w:val="24"/>
              </w:rPr>
              <w:t>1.243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F4BC96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0.502 to 3.082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F3A2F4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0.6383</w:t>
            </w:r>
          </w:p>
        </w:tc>
      </w:tr>
      <w:tr w:rsidR="00156666" w:rsidRPr="00B5015F" w14:paraId="573DE7EA" w14:textId="77777777" w:rsidTr="00207F2F">
        <w:trPr>
          <w:trHeight w:val="349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87AAC9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55GC subtype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AFBC5C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 xml:space="preserve">stromal </w:t>
            </w:r>
            <w:r w:rsidRPr="00B5015F">
              <w:rPr>
                <w:rFonts w:eastAsia="MS Gothic" w:cstheme="minorHAnsi"/>
                <w:i/>
                <w:iCs/>
                <w:color w:val="000000" w:themeColor="dark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dark1"/>
                <w:kern w:val="24"/>
              </w:rPr>
              <w:t xml:space="preserve"> MSI-like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D9D902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HGPSoeiKakugothicUB" w:cstheme="minorHAnsi"/>
                <w:color w:val="000000" w:themeColor="text1"/>
                <w:kern w:val="24"/>
              </w:rPr>
              <w:t>2.870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66F56C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1.219 to 6.752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E205F4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0.0158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0B33B0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Theme="minorEastAsia" w:cstheme="minorHAnsi"/>
                <w:color w:val="000000" w:themeColor="dark1"/>
                <w:kern w:val="24"/>
              </w:rPr>
              <w:t>2.750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CABCCE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1.168 to 6.476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BA0AD2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0.0206</w:t>
            </w:r>
          </w:p>
        </w:tc>
      </w:tr>
      <w:tr w:rsidR="00156666" w:rsidRPr="00B5015F" w14:paraId="20B36F9C" w14:textId="77777777" w:rsidTr="00207F2F">
        <w:trPr>
          <w:trHeight w:val="349"/>
        </w:trPr>
        <w:tc>
          <w:tcPr>
            <w:tcW w:w="1040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F6DCBD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i/>
                <w:iCs/>
                <w:color w:val="000000" w:themeColor="dark1"/>
                <w:kern w:val="24"/>
              </w:rPr>
              <w:t>RAS</w:t>
            </w:r>
          </w:p>
        </w:tc>
        <w:tc>
          <w:tcPr>
            <w:tcW w:w="907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7F2B9C" w14:textId="77777777" w:rsidR="00156666" w:rsidRPr="00B5015F" w:rsidRDefault="00156666" w:rsidP="00207F2F">
            <w:pPr>
              <w:spacing w:after="0" w:line="360" w:lineRule="auto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 xml:space="preserve">mutant </w:t>
            </w:r>
            <w:r w:rsidRPr="00B5015F">
              <w:rPr>
                <w:rFonts w:eastAsia="MS Gothic" w:cstheme="minorHAnsi"/>
                <w:i/>
                <w:iCs/>
                <w:color w:val="000000" w:themeColor="dark1"/>
                <w:kern w:val="24"/>
              </w:rPr>
              <w:t>v</w:t>
            </w:r>
            <w:r w:rsidRPr="00B5015F">
              <w:rPr>
                <w:rFonts w:eastAsia="MS Gothic" w:cstheme="minorHAnsi"/>
                <w:color w:val="000000" w:themeColor="dark1"/>
                <w:kern w:val="24"/>
              </w:rPr>
              <w:t xml:space="preserve"> </w:t>
            </w:r>
            <w:proofErr w:type="gramStart"/>
            <w:r w:rsidRPr="00B5015F">
              <w:rPr>
                <w:rFonts w:eastAsia="MS Gothic" w:cstheme="minorHAnsi"/>
                <w:color w:val="000000" w:themeColor="dark1"/>
                <w:kern w:val="24"/>
              </w:rPr>
              <w:t>wild-type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B8B759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1.190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5E833C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0.652 to 2.174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DD6D97" w14:textId="77777777" w:rsidR="00156666" w:rsidRPr="00B5015F" w:rsidRDefault="00156666" w:rsidP="00207F2F">
            <w:pPr>
              <w:spacing w:after="0" w:line="360" w:lineRule="auto"/>
              <w:jc w:val="center"/>
              <w:textAlignment w:val="center"/>
              <w:rPr>
                <w:rFonts w:eastAsia="Times New Roman" w:cstheme="minorHAnsi"/>
              </w:rPr>
            </w:pPr>
            <w:r w:rsidRPr="00B5015F">
              <w:rPr>
                <w:rFonts w:eastAsia="MS Gothic" w:cstheme="minorHAnsi"/>
                <w:color w:val="000000" w:themeColor="dark1"/>
                <w:kern w:val="24"/>
              </w:rPr>
              <w:t>0.5706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C1F6B2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21F763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1C59F1" w14:textId="77777777" w:rsidR="00156666" w:rsidRPr="00B5015F" w:rsidRDefault="00156666" w:rsidP="00207F2F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1ECD6D4B" w14:textId="77777777" w:rsidR="00156666" w:rsidRPr="00B5015F" w:rsidRDefault="00156666" w:rsidP="00156666">
      <w:pPr>
        <w:spacing w:after="0" w:line="360" w:lineRule="auto"/>
        <w:rPr>
          <w:rFonts w:cstheme="minorHAnsi"/>
        </w:rPr>
      </w:pPr>
      <w:r w:rsidRPr="00B5015F">
        <w:rPr>
          <w:rFonts w:cstheme="minorHAnsi"/>
        </w:rPr>
        <w:t xml:space="preserve">Note: CEA: </w:t>
      </w:r>
      <w:r w:rsidRPr="00B5015F">
        <w:rPr>
          <w:rStyle w:val="Emphasis"/>
          <w:rFonts w:cstheme="minorHAnsi"/>
          <w:bCs/>
          <w:shd w:val="clear" w:color="auto" w:fill="FFFFFF"/>
        </w:rPr>
        <w:t>Carcinoembryonic antigen</w:t>
      </w:r>
      <w:r w:rsidRPr="00B5015F">
        <w:rPr>
          <w:rStyle w:val="Emphasis"/>
          <w:rFonts w:cstheme="minorHAnsi"/>
          <w:bCs/>
          <w:color w:val="6A6A6A"/>
          <w:shd w:val="clear" w:color="auto" w:fill="FFFFFF"/>
        </w:rPr>
        <w:t>;</w:t>
      </w:r>
      <w:r w:rsidRPr="00B5015F">
        <w:rPr>
          <w:rStyle w:val="Emphasis"/>
          <w:rFonts w:cstheme="minorHAnsi"/>
          <w:b/>
          <w:bCs/>
          <w:color w:val="6A6A6A"/>
          <w:shd w:val="clear" w:color="auto" w:fill="FFFFFF"/>
        </w:rPr>
        <w:t xml:space="preserve"> </w:t>
      </w:r>
      <w:r w:rsidRPr="00B5015F">
        <w:rPr>
          <w:rFonts w:cstheme="minorHAnsi"/>
        </w:rPr>
        <w:t>muc: mucinous adenocarcinoma; por: poorly differentiated adenocarcinoma; tub: tubular adenocarcinoma; MMR: mismatch repair</w:t>
      </w:r>
    </w:p>
    <w:p w14:paraId="4CCBC6CE" w14:textId="77777777" w:rsidR="003A06F2" w:rsidRDefault="003A06F2">
      <w:bookmarkStart w:id="0" w:name="_GoBack"/>
      <w:bookmarkEnd w:id="0"/>
    </w:p>
    <w:sectPr w:rsidR="003A06F2" w:rsidSect="0015666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E0"/>
    <w:rsid w:val="00156666"/>
    <w:rsid w:val="003A06F2"/>
    <w:rsid w:val="009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6234-7C26-4AC5-AFFC-D4ACAEC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666"/>
    <w:pPr>
      <w:spacing w:after="200" w:line="276" w:lineRule="auto"/>
    </w:pPr>
    <w:rPr>
      <w:rFonts w:eastAsia="MS Minch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156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2020-01-09T19:27:00Z</dcterms:created>
  <dcterms:modified xsi:type="dcterms:W3CDTF">2020-01-09T20:24:00Z</dcterms:modified>
</cp:coreProperties>
</file>