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Pr="001A480E">
        <w:rPr>
          <w:rFonts w:ascii="Times New Roman" w:hAnsi="Times New Roman" w:cs="Times New Roman"/>
          <w:b/>
          <w:sz w:val="24"/>
          <w:szCs w:val="24"/>
          <w:lang w:val="en-US"/>
        </w:rPr>
        <w:t>1. Schematic overview of experimental setup</w:t>
      </w: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(A) Peripheral blood-derived 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CD14</w:t>
      </w:r>
      <w:proofErr w:type="spellEnd"/>
      <w:r w:rsidRPr="001A48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monocytes were cultured in presence of GM-CSF or M-CSF to induce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M(GM-CSF)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M(GM-CSF)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macrophage phenotype, respectively. After 7 days in culture, macrophages were activated with 100 ng/mL LPS after which they were used in co-culture experiments. 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PBEC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were cultured until confluent after which they were cultured at the air-liquid interface (ALI-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PBEC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>) and differentiated for 2 weeks. Upon 2 weeks differentiation, ALI-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PBEC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and (LPS-activated) macrophages were co-cultured for 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24h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or until wound closure (B) Epithelial wounding was performed by mechanically scraping well-differentiated ALI-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PBEC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>, using a template to ensure identical wound surface areas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PEVuZE5vdGU+PENpdGU+PEF1dGhvcj5BbWF0bmdhbGltPC9BdXRob3I+PFllYXI+MjAxNjwvWWVh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PEVuZE5vdGU+PENpdGU+PEF1dGhvcj5BbWF0bmdhbGltPC9BdXRob3I+PFllYXI+MjAxNjwvWWVh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(16)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11F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Wound closure was measured over time; representative light microscopic images were taken at various time points and are shown here. </w:t>
      </w:r>
    </w:p>
    <w:p w:rsidR="00121B2F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2. M</w:t>
      </w:r>
      <w:r w:rsidRPr="001A480E">
        <w:rPr>
          <w:rFonts w:ascii="Times New Roman" w:hAnsi="Times New Roman" w:cs="Times New Roman"/>
          <w:b/>
          <w:sz w:val="24"/>
          <w:szCs w:val="24"/>
          <w:lang w:val="en-US"/>
        </w:rPr>
        <w:t>acrophage polarization</w:t>
      </w: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480E">
        <w:rPr>
          <w:rFonts w:ascii="Times New Roman" w:hAnsi="Times New Roman" w:cs="Times New Roman"/>
          <w:sz w:val="24"/>
          <w:szCs w:val="24"/>
          <w:lang w:val="en-US"/>
        </w:rPr>
        <w:t>(A) mRNA expression of</w:t>
      </w:r>
      <w:r w:rsidRPr="001A48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480E">
        <w:rPr>
          <w:rFonts w:ascii="Times New Roman" w:hAnsi="Times New Roman" w:cs="Times New Roman"/>
          <w:i/>
          <w:sz w:val="24"/>
          <w:szCs w:val="24"/>
          <w:lang w:val="en-US"/>
        </w:rPr>
        <w:t>CD163</w:t>
      </w:r>
      <w:proofErr w:type="spellEnd"/>
      <w:r w:rsidRPr="001A48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M(</w:t>
      </w:r>
      <w:r w:rsidRPr="00E02F23">
        <w:rPr>
          <w:rFonts w:ascii="Times New Roman" w:hAnsi="Times New Roman" w:cs="Times New Roman"/>
          <w:sz w:val="24"/>
          <w:szCs w:val="24"/>
          <w:lang w:val="en-US"/>
        </w:rPr>
        <w:t xml:space="preserve">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>macrophages – blue bars)</w:t>
      </w:r>
      <w:r w:rsidRPr="001A48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1A48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CHI3L1</w:t>
      </w:r>
      <w:proofErr w:type="spellEnd"/>
      <w:r w:rsidRPr="001A48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02F23">
        <w:rPr>
          <w:rFonts w:ascii="Times New Roman" w:hAnsi="Times New Roman" w:cs="Times New Roman"/>
          <w:sz w:val="24"/>
          <w:szCs w:val="24"/>
          <w:lang w:val="en-US"/>
        </w:rPr>
        <w:t xml:space="preserve">M(GM-CSF)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>macrophages – red bars)</w:t>
      </w:r>
      <w:r w:rsidRPr="001A48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in (LPS-activated)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M(GM-CSF)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M(M-CSF)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>macrophages was measured by q-PCR (n=3 independent experi</w:t>
      </w:r>
      <w:r>
        <w:rPr>
          <w:rFonts w:ascii="Times New Roman" w:hAnsi="Times New Roman" w:cs="Times New Roman"/>
          <w:sz w:val="24"/>
          <w:szCs w:val="24"/>
          <w:lang w:val="en-US"/>
        </w:rPr>
        <w:t>ments). (B) Protein levels of IL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>-10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M(M-CSF)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>macrophages – blue bars) and IL-12/IL-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23p40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M(GM-CSF)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macrophages – red bars) were measured at 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24h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after LPS stimulation and upon co-culture (n=3 independent experiments).</w:t>
      </w: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80E">
        <w:rPr>
          <w:rFonts w:ascii="Times New Roman" w:hAnsi="Times New Roman" w:cs="Times New Roman"/>
          <w:sz w:val="24"/>
          <w:szCs w:val="24"/>
          <w:lang w:val="en-US"/>
        </w:rPr>
        <w:t>Data are shown as mean ± SEM. * p &lt; 0.05, ** p &lt; 0.01, *** p &lt; 0.001, **** p &lt; 0.0001.</w:t>
      </w: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Pr="001A480E">
        <w:rPr>
          <w:rFonts w:ascii="Times New Roman" w:hAnsi="Times New Roman" w:cs="Times New Roman"/>
          <w:b/>
          <w:sz w:val="24"/>
          <w:szCs w:val="24"/>
          <w:lang w:val="en-US"/>
        </w:rPr>
        <w:t>3. Inhibition of key repair pathways and molecules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during epithelial wound repair</w:t>
      </w: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To determine the contribution of several pathways that play a role in epithelial wound repair to </w:t>
      </w:r>
      <w:r>
        <w:rPr>
          <w:rFonts w:ascii="Times New Roman" w:hAnsi="Times New Roman" w:cs="Times New Roman"/>
          <w:sz w:val="24"/>
          <w:szCs w:val="24"/>
          <w:lang w:val="en-US"/>
        </w:rPr>
        <w:t>M(GM-CSF) (red line) or M(M-CSF)</w:t>
      </w:r>
      <w:r w:rsidRPr="00E02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(blue line)-induced enhanced epithelial wound closure, 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various inhibitors were added in the epithelial mono (black lines)- and co-cultures upon epithelial wounding. Inhibitors of the 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TGF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β pathway (SB-434215), and 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MMP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inhibitor (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GM6001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>) and an anti-LL-37 antibody were added upon wounding and the residual wound area was measured over time (n=3 independent ALI-</w:t>
      </w:r>
      <w:proofErr w:type="spellStart"/>
      <w:r w:rsidRPr="001A480E">
        <w:rPr>
          <w:rFonts w:ascii="Times New Roman" w:hAnsi="Times New Roman" w:cs="Times New Roman"/>
          <w:sz w:val="24"/>
          <w:szCs w:val="24"/>
          <w:lang w:val="en-US"/>
        </w:rPr>
        <w:t>PBEC</w:t>
      </w:r>
      <w:proofErr w:type="spellEnd"/>
      <w:r w:rsidRPr="001A480E">
        <w:rPr>
          <w:rFonts w:ascii="Times New Roman" w:hAnsi="Times New Roman" w:cs="Times New Roman"/>
          <w:sz w:val="24"/>
          <w:szCs w:val="24"/>
          <w:lang w:val="en-US"/>
        </w:rPr>
        <w:t xml:space="preserve"> donors).</w:t>
      </w:r>
    </w:p>
    <w:p w:rsidR="00121B2F" w:rsidRPr="001A480E" w:rsidRDefault="00121B2F" w:rsidP="00121B2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80E">
        <w:rPr>
          <w:rFonts w:ascii="Times New Roman" w:hAnsi="Times New Roman" w:cs="Times New Roman"/>
          <w:sz w:val="24"/>
          <w:szCs w:val="24"/>
          <w:lang w:val="en-US"/>
        </w:rPr>
        <w:t>Data are shown as mean ± SEM.</w:t>
      </w:r>
    </w:p>
    <w:p w:rsidR="00197C92" w:rsidRPr="00121B2F" w:rsidRDefault="00197C92">
      <w:pPr>
        <w:rPr>
          <w:lang w:val="en-US"/>
        </w:rPr>
      </w:pPr>
      <w:bookmarkStart w:id="0" w:name="_GoBack"/>
      <w:bookmarkEnd w:id="0"/>
    </w:p>
    <w:sectPr w:rsidR="00197C92" w:rsidRPr="00121B2F" w:rsidSect="00E80CB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F"/>
    <w:rsid w:val="00121B2F"/>
    <w:rsid w:val="00197C92"/>
    <w:rsid w:val="00C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56E557-E0F4-42AE-B996-9D78642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21B2F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2020-02-28T07:44:00Z</dcterms:created>
  <dcterms:modified xsi:type="dcterms:W3CDTF">2020-02-28T07:44:00Z</dcterms:modified>
</cp:coreProperties>
</file>