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50" w:rsidRPr="00034EE9" w:rsidRDefault="00653B50" w:rsidP="00653B50">
      <w:pPr>
        <w:shd w:val="clear" w:color="auto" w:fill="FFFFFF"/>
        <w:spacing w:after="0" w:line="480" w:lineRule="auto"/>
        <w:rPr>
          <w:rFonts w:asciiTheme="majorBidi" w:eastAsia="Times New Roman" w:hAnsiTheme="majorBidi" w:cstheme="majorBidi"/>
          <w:b/>
          <w:bCs/>
          <w:sz w:val="24"/>
          <w:szCs w:val="24"/>
        </w:rPr>
      </w:pPr>
      <w:r w:rsidRPr="00034EE9">
        <w:rPr>
          <w:rFonts w:asciiTheme="majorBidi" w:eastAsia="Times New Roman" w:hAnsiTheme="majorBidi" w:cstheme="majorBidi"/>
          <w:b/>
          <w:bCs/>
          <w:sz w:val="24"/>
          <w:szCs w:val="24"/>
        </w:rPr>
        <w:t>Materials and Methods</w:t>
      </w:r>
    </w:p>
    <w:p w:rsidR="00653B50" w:rsidRPr="00034EE9" w:rsidRDefault="00653B50" w:rsidP="00653B50">
      <w:pPr>
        <w:shd w:val="clear" w:color="auto" w:fill="FFFFFF" w:themeFill="background1"/>
        <w:spacing w:before="120" w:after="0" w:line="480" w:lineRule="auto"/>
        <w:rPr>
          <w:rFonts w:asciiTheme="majorBidi" w:hAnsiTheme="majorBidi" w:cstheme="majorBidi"/>
          <w:b/>
          <w:bCs/>
          <w:sz w:val="24"/>
          <w:szCs w:val="24"/>
        </w:rPr>
      </w:pPr>
      <w:r w:rsidRPr="00034EE9">
        <w:rPr>
          <w:rFonts w:asciiTheme="majorBidi" w:hAnsiTheme="majorBidi" w:cstheme="majorBidi"/>
          <w:b/>
          <w:bCs/>
          <w:sz w:val="24"/>
          <w:szCs w:val="24"/>
        </w:rPr>
        <w:t xml:space="preserve">Search </w:t>
      </w:r>
      <w:r w:rsidR="00E87022" w:rsidRPr="00034EE9">
        <w:rPr>
          <w:rFonts w:asciiTheme="majorBidi" w:hAnsiTheme="majorBidi" w:cstheme="majorBidi"/>
          <w:b/>
          <w:bCs/>
          <w:sz w:val="24"/>
          <w:szCs w:val="24"/>
        </w:rPr>
        <w:t>Strategy</w:t>
      </w:r>
    </w:p>
    <w:p w:rsidR="00653B50" w:rsidRPr="00034EE9" w:rsidRDefault="00653B50" w:rsidP="00653B50">
      <w:pPr>
        <w:shd w:val="clear" w:color="auto" w:fill="FFFFFF" w:themeFill="background1"/>
        <w:spacing w:before="120" w:after="0" w:line="480" w:lineRule="auto"/>
        <w:rPr>
          <w:rFonts w:asciiTheme="majorBidi" w:hAnsiTheme="majorBidi" w:cstheme="majorBidi"/>
          <w:color w:val="000000" w:themeColor="text1"/>
          <w:sz w:val="24"/>
          <w:szCs w:val="24"/>
        </w:rPr>
      </w:pPr>
      <w:r w:rsidRPr="00034EE9">
        <w:rPr>
          <w:rFonts w:asciiTheme="majorBidi" w:hAnsiTheme="majorBidi" w:cstheme="majorBidi"/>
          <w:sz w:val="24"/>
          <w:szCs w:val="24"/>
          <w:lang w:val="x-none"/>
        </w:rPr>
        <w:t>Th</w:t>
      </w:r>
      <w:r w:rsidRPr="00034EE9">
        <w:rPr>
          <w:rFonts w:asciiTheme="majorBidi" w:hAnsiTheme="majorBidi" w:cstheme="majorBidi"/>
          <w:sz w:val="24"/>
          <w:szCs w:val="24"/>
        </w:rPr>
        <w:t xml:space="preserve">e </w:t>
      </w:r>
      <w:r w:rsidRPr="00034EE9">
        <w:rPr>
          <w:rFonts w:asciiTheme="majorBidi" w:hAnsiTheme="majorBidi" w:cstheme="majorBidi"/>
          <w:sz w:val="24"/>
          <w:szCs w:val="24"/>
          <w:lang w:val="x-none"/>
        </w:rPr>
        <w:t>systematic</w:t>
      </w:r>
      <w:r w:rsidRPr="00034EE9">
        <w:rPr>
          <w:rFonts w:asciiTheme="majorBidi" w:hAnsiTheme="majorBidi" w:cstheme="majorBidi"/>
          <w:sz w:val="24"/>
          <w:szCs w:val="24"/>
        </w:rPr>
        <w:t xml:space="preserve"> </w:t>
      </w:r>
      <w:r w:rsidRPr="00034EE9">
        <w:rPr>
          <w:rFonts w:asciiTheme="majorBidi" w:hAnsiTheme="majorBidi" w:cstheme="majorBidi"/>
          <w:sz w:val="24"/>
          <w:szCs w:val="24"/>
          <w:lang w:val="x-none"/>
        </w:rPr>
        <w:t xml:space="preserve">review </w:t>
      </w:r>
      <w:r w:rsidRPr="00034EE9">
        <w:rPr>
          <w:rFonts w:asciiTheme="majorBidi" w:hAnsiTheme="majorBidi" w:cstheme="majorBidi"/>
          <w:sz w:val="24"/>
          <w:szCs w:val="24"/>
        </w:rPr>
        <w:t xml:space="preserve">was </w:t>
      </w:r>
      <w:r w:rsidRPr="00034EE9">
        <w:rPr>
          <w:rFonts w:asciiTheme="majorBidi" w:hAnsiTheme="majorBidi" w:cstheme="majorBidi"/>
          <w:sz w:val="24"/>
          <w:szCs w:val="24"/>
          <w:lang w:val="x-none"/>
        </w:rPr>
        <w:t xml:space="preserve">conducted and reported </w:t>
      </w:r>
      <w:r w:rsidRPr="00034EE9">
        <w:rPr>
          <w:rFonts w:asciiTheme="majorBidi" w:hAnsiTheme="majorBidi" w:cstheme="majorBidi"/>
          <w:sz w:val="24"/>
          <w:szCs w:val="24"/>
        </w:rPr>
        <w:t>in accordance</w:t>
      </w:r>
      <w:r w:rsidRPr="00034EE9">
        <w:rPr>
          <w:rFonts w:asciiTheme="majorBidi" w:hAnsiTheme="majorBidi" w:cstheme="majorBidi"/>
          <w:sz w:val="24"/>
          <w:szCs w:val="24"/>
          <w:lang w:val="x-none"/>
        </w:rPr>
        <w:t xml:space="preserve"> with </w:t>
      </w:r>
      <w:r w:rsidRPr="00034EE9">
        <w:rPr>
          <w:rFonts w:asciiTheme="majorBidi" w:hAnsiTheme="majorBidi" w:cstheme="majorBidi"/>
          <w:sz w:val="24"/>
          <w:szCs w:val="24"/>
        </w:rPr>
        <w:t xml:space="preserve">the </w:t>
      </w:r>
      <w:r w:rsidRPr="00034EE9">
        <w:rPr>
          <w:rFonts w:asciiTheme="majorBidi" w:hAnsiTheme="majorBidi" w:cstheme="majorBidi"/>
          <w:sz w:val="24"/>
          <w:szCs w:val="24"/>
          <w:lang w:val="x-none"/>
        </w:rPr>
        <w:t>PRISMA statement</w:t>
      </w:r>
      <w:r w:rsidR="00E87022" w:rsidRPr="00E87022">
        <w:rPr>
          <w:rFonts w:asciiTheme="majorBidi" w:hAnsiTheme="majorBidi" w:cstheme="majorBidi"/>
          <w:sz w:val="24"/>
          <w:szCs w:val="24"/>
        </w:rPr>
        <w:t xml:space="preserve"> </w:t>
      </w:r>
      <w:r w:rsidRPr="00034EE9">
        <w:rPr>
          <w:rFonts w:asciiTheme="majorBidi" w:hAnsiTheme="majorBidi" w:cstheme="majorBidi"/>
          <w:sz w:val="24"/>
          <w:szCs w:val="24"/>
        </w:rPr>
        <w:fldChar w:fldCharType="begin"/>
      </w:r>
      <w:r w:rsidRPr="00034EE9">
        <w:rPr>
          <w:rFonts w:asciiTheme="majorBidi" w:hAnsiTheme="majorBidi" w:cstheme="majorBidi"/>
          <w:sz w:val="24"/>
          <w:szCs w:val="24"/>
        </w:rPr>
        <w:instrText xml:space="preserve"> ADDIN ZOTERO_ITEM CSL_CITATION {"citationID":"a2fojebatt7","properties":{"formattedCitation":"[13]","plainCitation":"[13]","noteIndex":0},"citationItems":[{"id":293,"uris":["http://zotero.org/users/3755985/items/ENKPFND9"],"uri":["http://zotero.org/users/3755985/items/ENKPFND9"],"itemData":{"id":293,"type":"article-journal","container-title":"PLoS medicine","DOI":"10.1371/journal.pmed.1000097","ISSN":"1549-1676","issue":"7","journalAbbreviation":"PLoS Med.","language":"eng","note":"PMID: 19621072\nPMCID: PMC2707599","page":"e1000097","source":"PubMed","title":"Preferred reporting items for systematic reviews and meta-analyses: the PRISMA statement","title-short":"Preferred reporting items for systematic reviews and meta-analyses","volume":"6","author":[{"family":"Moher","given":"David"},{"family":"Liberati","given":"Alessandro"},{"family":"Tetzlaff","given":"Jennifer"},{"family":"Altman","given":"Douglas G."},{"literal":"PRISMA Group"}],"issued":{"date-parts":[["2009",7,21]]}}}],"schema":"https://github.com/citation-style-language/schema/raw/master/csl-citation.json"} </w:instrText>
      </w:r>
      <w:r w:rsidRPr="00034EE9">
        <w:rPr>
          <w:rFonts w:asciiTheme="majorBidi" w:hAnsiTheme="majorBidi" w:cstheme="majorBidi"/>
          <w:sz w:val="24"/>
          <w:szCs w:val="24"/>
        </w:rPr>
        <w:fldChar w:fldCharType="separate"/>
      </w:r>
      <w:r w:rsidRPr="00034EE9">
        <w:rPr>
          <w:rFonts w:ascii="Times New Roman" w:hAnsi="Times New Roman" w:cs="Times New Roman"/>
          <w:sz w:val="24"/>
        </w:rPr>
        <w:t>[13]</w:t>
      </w:r>
      <w:r w:rsidRPr="00034EE9">
        <w:rPr>
          <w:rFonts w:asciiTheme="majorBidi" w:hAnsiTheme="majorBidi" w:cstheme="majorBidi"/>
          <w:sz w:val="24"/>
          <w:szCs w:val="24"/>
        </w:rPr>
        <w:fldChar w:fldCharType="end"/>
      </w:r>
      <w:r w:rsidRPr="00034EE9">
        <w:rPr>
          <w:rFonts w:asciiTheme="majorBidi" w:hAnsiTheme="majorBidi" w:cstheme="majorBidi"/>
          <w:sz w:val="24"/>
          <w:szCs w:val="24"/>
        </w:rPr>
        <w:t xml:space="preserve"> and registered with the PROSPERO international prospective register. We searched </w:t>
      </w:r>
      <w:r w:rsidRPr="00034EE9">
        <w:rPr>
          <w:rFonts w:asciiTheme="majorBidi" w:hAnsiTheme="majorBidi" w:cstheme="majorBidi"/>
          <w:sz w:val="24"/>
          <w:szCs w:val="24"/>
          <w:lang w:val="x-none"/>
        </w:rPr>
        <w:t>with</w:t>
      </w:r>
      <w:r w:rsidRPr="00034EE9">
        <w:rPr>
          <w:rFonts w:asciiTheme="majorBidi" w:hAnsiTheme="majorBidi" w:cstheme="majorBidi"/>
          <w:sz w:val="24"/>
          <w:szCs w:val="24"/>
        </w:rPr>
        <w:t xml:space="preserve">out </w:t>
      </w:r>
      <w:r w:rsidRPr="00034EE9">
        <w:rPr>
          <w:rFonts w:asciiTheme="majorBidi" w:hAnsiTheme="majorBidi" w:cstheme="majorBidi"/>
          <w:sz w:val="24"/>
          <w:szCs w:val="24"/>
          <w:lang w:val="x-none"/>
        </w:rPr>
        <w:t>date limits</w:t>
      </w:r>
      <w:r w:rsidRPr="00034EE9">
        <w:rPr>
          <w:rFonts w:asciiTheme="majorBidi" w:hAnsiTheme="majorBidi" w:cstheme="majorBidi"/>
          <w:sz w:val="24"/>
          <w:szCs w:val="24"/>
        </w:rPr>
        <w:t xml:space="preserve"> in </w:t>
      </w:r>
      <w:r w:rsidRPr="00034EE9">
        <w:rPr>
          <w:rFonts w:asciiTheme="majorBidi" w:hAnsiTheme="majorBidi" w:cstheme="majorBidi"/>
          <w:color w:val="000000" w:themeColor="text1"/>
          <w:sz w:val="24"/>
          <w:szCs w:val="24"/>
        </w:rPr>
        <w:t xml:space="preserve">June 2019 </w:t>
      </w:r>
      <w:r w:rsidRPr="00034EE9">
        <w:rPr>
          <w:rFonts w:asciiTheme="majorBidi" w:hAnsiTheme="majorBidi" w:cstheme="majorBidi"/>
          <w:sz w:val="24"/>
          <w:szCs w:val="24"/>
          <w:lang w:val="x-none"/>
        </w:rPr>
        <w:t>using</w:t>
      </w:r>
      <w:r w:rsidRPr="00034EE9">
        <w:rPr>
          <w:rFonts w:asciiTheme="majorBidi" w:hAnsiTheme="majorBidi" w:cstheme="majorBidi"/>
          <w:sz w:val="24"/>
          <w:szCs w:val="24"/>
        </w:rPr>
        <w:t xml:space="preserve"> </w:t>
      </w:r>
      <w:r w:rsidRPr="00034EE9">
        <w:rPr>
          <w:rFonts w:asciiTheme="majorBidi" w:hAnsiTheme="majorBidi" w:cstheme="majorBidi"/>
          <w:color w:val="000000" w:themeColor="text1"/>
          <w:sz w:val="24"/>
          <w:szCs w:val="24"/>
        </w:rPr>
        <w:t xml:space="preserve">PubMed, </w:t>
      </w:r>
      <w:r w:rsidRPr="00034EE9">
        <w:rPr>
          <w:rFonts w:asciiTheme="majorBidi" w:eastAsia="ArialMT" w:hAnsiTheme="majorBidi" w:cstheme="majorBidi"/>
          <w:sz w:val="24"/>
          <w:szCs w:val="24"/>
        </w:rPr>
        <w:t>Google Scholar,</w:t>
      </w:r>
      <w:r w:rsidRPr="00034EE9">
        <w:rPr>
          <w:rFonts w:asciiTheme="majorBidi" w:hAnsiTheme="majorBidi" w:cstheme="majorBidi"/>
          <w:color w:val="000000" w:themeColor="text1"/>
          <w:sz w:val="24"/>
          <w:szCs w:val="24"/>
        </w:rPr>
        <w:t xml:space="preserve"> ScienceDirect, the ongoing trials registry/database of the US National Institutes of Health (</w:t>
      </w:r>
      <w:hyperlink r:id="rId4" w:history="1">
        <w:r w:rsidRPr="00034EE9">
          <w:rPr>
            <w:rStyle w:val="Hyperlink"/>
            <w:rFonts w:asciiTheme="majorBidi" w:eastAsiaTheme="majorEastAsia" w:hAnsiTheme="majorBidi" w:cstheme="majorBidi"/>
            <w:color w:val="000000" w:themeColor="text1"/>
            <w:sz w:val="24"/>
            <w:szCs w:val="24"/>
          </w:rPr>
          <w:t>www.clinicaltrials.gov</w:t>
        </w:r>
      </w:hyperlink>
      <w:r w:rsidRPr="00034EE9">
        <w:rPr>
          <w:rFonts w:asciiTheme="majorBidi" w:hAnsiTheme="majorBidi" w:cstheme="majorBidi"/>
          <w:color w:val="000000" w:themeColor="text1"/>
          <w:sz w:val="24"/>
          <w:szCs w:val="24"/>
        </w:rPr>
        <w:t xml:space="preserve">), Cochrane Central Register of Controlled Trials, and Cochrane Database of Systematic Reviews. </w:t>
      </w:r>
      <w:r w:rsidRPr="00034EE9">
        <w:rPr>
          <w:rFonts w:asciiTheme="majorBidi" w:eastAsia="ArialMT" w:hAnsiTheme="majorBidi" w:cstheme="majorBidi"/>
          <w:sz w:val="24"/>
          <w:szCs w:val="24"/>
        </w:rPr>
        <w:t xml:space="preserve">Reference lists from key trials and </w:t>
      </w:r>
      <w:r w:rsidRPr="00034EE9">
        <w:rPr>
          <w:rFonts w:asciiTheme="majorBidi" w:hAnsiTheme="majorBidi" w:cstheme="majorBidi"/>
          <w:sz w:val="24"/>
          <w:szCs w:val="24"/>
        </w:rPr>
        <w:t>previous systematic review</w:t>
      </w:r>
      <w:r w:rsidRPr="00034EE9">
        <w:rPr>
          <w:rFonts w:asciiTheme="majorBidi" w:eastAsia="ArialMT" w:hAnsiTheme="majorBidi" w:cstheme="majorBidi"/>
          <w:sz w:val="24"/>
          <w:szCs w:val="24"/>
        </w:rPr>
        <w:t xml:space="preserve"> were manually scanned</w:t>
      </w:r>
      <w:r w:rsidRPr="00034EE9">
        <w:rPr>
          <w:rFonts w:asciiTheme="majorBidi" w:hAnsiTheme="majorBidi" w:cstheme="majorBidi"/>
          <w:sz w:val="24"/>
          <w:szCs w:val="24"/>
        </w:rPr>
        <w:t xml:space="preserve"> </w:t>
      </w:r>
      <w:r w:rsidRPr="00034EE9">
        <w:rPr>
          <w:rFonts w:asciiTheme="majorBidi" w:eastAsia="ArialMT" w:hAnsiTheme="majorBidi" w:cstheme="majorBidi"/>
          <w:sz w:val="24"/>
          <w:szCs w:val="24"/>
        </w:rPr>
        <w:t>for</w:t>
      </w:r>
      <w:r w:rsidRPr="00034EE9">
        <w:rPr>
          <w:rFonts w:asciiTheme="majorBidi" w:hAnsiTheme="majorBidi" w:cstheme="majorBidi"/>
          <w:sz w:val="24"/>
          <w:szCs w:val="24"/>
        </w:rPr>
        <w:t xml:space="preserve"> additional results</w:t>
      </w:r>
      <w:r w:rsidR="00E87022">
        <w:rPr>
          <w:rFonts w:asciiTheme="majorBidi" w:hAnsiTheme="majorBidi" w:cstheme="majorBidi"/>
          <w:sz w:val="24"/>
          <w:szCs w:val="24"/>
        </w:rPr>
        <w:t xml:space="preserve"> </w:t>
      </w:r>
      <w:r w:rsidRPr="00034EE9">
        <w:rPr>
          <w:rFonts w:asciiTheme="majorBidi" w:hAnsiTheme="majorBidi" w:cstheme="majorBidi"/>
          <w:sz w:val="24"/>
          <w:szCs w:val="24"/>
        </w:rPr>
        <w:fldChar w:fldCharType="begin"/>
      </w:r>
      <w:r w:rsidRPr="00034EE9">
        <w:rPr>
          <w:rFonts w:asciiTheme="majorBidi" w:hAnsiTheme="majorBidi" w:cstheme="majorBidi"/>
          <w:sz w:val="24"/>
          <w:szCs w:val="24"/>
        </w:rPr>
        <w:instrText xml:space="preserve"> ADDIN ZOTERO_ITEM CSL_CITATION {"citationID":"zTxN564W","properties":{"formattedCitation":"[9\\uc0\\u8211{}12,14]","plainCitation":"[9–12,14]","noteIndex":0},"citationItems":[{"id":1561,"uris":["http://zotero.org/users/3755985/items/KKC79DPD"],"uri":["http://zotero.org/users/3755985/items/KKC79DPD"],"itemData":{"id":1561,"type":"article-journal","abstract":"BACKGROUND: Paget's disease is a rare skin disorder occurring in the breast (mammary) or in the groin, genital, peri-anal and axillary regions (extra-mammary). Typical treatment involves surgical excision, which in the case of extra-mammary Paget's disease, can lead to significant morbidity. Photodynamic therapy (PDT) which uses a topical or intravenous photosensitizing agent that is activated by a light source to ablate abnormal tissue, offers a minimally invasive alternative. The purpose of this study was to assess the effectiveness of photodynamic therapy in the treatment of Paget's disease.\nMETHODS: Following Cochrane guidelines, a comprehensive systematic review of all clinical studies and reports examining the use of PDT for mammary and extra-mammary Paget's disease was conducted. Study quality was assessed using the Oxford Levels of Evidence Scale.\nRESULTS: 21 retrospective and 2 prospective non-comparative studies were identified and included in the review: 9 case reports with 1-2 patients and 14 case series with 1-16 patients. These reports totalled 99 patients with 133 extra-mammary Paget's lesions and 3 patients (with 3 lesions) with mammary Paget's disease. Follow-up periods were typically one year or less, with 77/133 extra-mammary lesions exhibiting complete response to PDT. One recurrent mammary skin lesion and two mammary lesions treated concomitantly with surgery also exhibited complete responses.\nCONCLUSIONS: Evidence of the effectiveness of PDT for Paget's disease is promising, but limited. This may, in part, be explained by the rarity of the condition, making controlled comparative clinical trials challenging.","container-title":"BMC dermatology","DOI":"10.1186/1471-5945-11-13","ISSN":"1471-5945","journalAbbreviation":"BMC Dermatol.","language":"eng","note":"PMID: 21676258\nPMCID: PMC3141658","page":"13","source":"PubMed","title":"Effectiveness of photodynamic therapy for mammary and extra-mammary Paget's disease: a state of the science review","title-short":"Effectiveness of photodynamic therapy for mammary and extra-mammary Paget's disease","volume":"11","author":[{"family":"Nardelli","given":"Alexa A."},{"family":"Stafinski","given":"Tania"},{"family":"Menon","given":"Devidas"}],"issued":{"date-parts":[["2011",6,15]]}}},{"id":1564,"uris":["http://zotero.org/users/3755985/items/ERQF4TQ6"],"uri":["http://zotero.org/users/3755985/items/ERQF4TQ6"],"itemData":{"id":1564,"type":"article-journal","abstract":"BACKGROUND: Extramammary Paget's disease of the vulva (EPDV) is a rare adenocarcinoma in situ of the vulvar skin and is often resected with involved margins due to its reticular growth pattern. Adjuvant treatment with the immunomodulator imiquimod may be suitable to avoid repeated and mutilating surgery.\nCASE PRESENTATION: We present the case of a 73-year-old woman with EPDV, initially treated with surgical resection and re-resection for involved margins. Final histology revealed Paget's disease of the left vulva with 8 cm in the largest diameter and again involved margins. Subsequently, topical therapy with imiquimod 5% cream twice weekly was applied for 3 months. Vulvoscopy and local biopsies confirmed complete remission (CR). Based on a literature search using PubMed and the Cochrane Central Register of Controlled Trials, 21 reports on the therapeutic efficacy of imiquimod in 70 women with EPDV have been published. Pooled rates of CR and partial remission were 71% (50/70) and 16% (11/70), respectively. There were 4 cases of disease progression under imiquimod and the therapy was generally well tolerated with mild to moderate local reactions in &gt;50% of cases.\nCONCLUSION: EPDV is a rare genital neoplasia and may be successfully treated with the topical immunomodulator imiquimod. Specifically, adjuvant imiquimod is a feasible and efficacious treatment option for women with involved resection margins after surgery.","container-title":"Gynecologic and Obstetric Investigation","DOI":"10.1159/000449158","ISSN":"1423-002X","issue":"1","journalAbbreviation":"Gynecol. Obstet. Invest.","language":"eng","note":"PMID: 27655036","page":"1-7","source":"PubMed","title":"Paget's Disease of the Vulva Treated with Imiquimod: Case Report and Systematic Review of the Literature","title-short":"Paget's Disease of the Vulva Treated with Imiquimod","volume":"82","author":[{"family":"Dogan","given":"Askin"},{"family":"Hilal","given":"Ziad"},{"family":"Krentel","given":"Harald"},{"family":"Cetin","given":"Cem"},{"family":"Hefler","given":"Lukas A."},{"family":"Grimm","given":"Christoph"},{"family":"Tempfer","given":"Clemens B."}],"issued":{"date-parts":[["2017"]]}}},{"id":1567,"uris":["http://zotero.org/users/3755985/items/FA4YD2QH"],"uri":["http://zotero.org/users/3755985/items/FA4YD2QH"],"itemData":{"id":1567,"type":"article-journal","abstract":"OBJECTIVE/PURPOSE: Extramammary Paget disease (EMPD) is a rare neoplasm of the skin generally affecting the anogenital area. Because of the low-frequency of the disease, no specific guidelines about the treatment strategy are available. Surgery is the recommended therapy for resectable and localized disease, but several other local treatments have been reported such as radiotherapy (RT). Most articles report small retrospective studies, referring to patients treated decades ago with large heterogeneity in terms of RT dose and technique. The aim of this study was to systematically review the main experiences in RT for the treatment of EMPD in the past 30 years.\nMATERIALS AND METHODS: A systematic search of the bibliographic databases PubMed and Scopus from January 1986 to January 2017 was performed including studies published in English, Italian, Spanish, French, and German language.\nRESULTS: According to the search strategy, 19 full-text articles, published from 1991 to 2015, fulfilled inclusion criteria and were included in the final review. All articles were retrospective analyses with no randomized controlled trials. These studies evaluated 195 EMPD patients treated with RT, delivered in several settings. A large variability in terms of RT doses, fractionation, clinical setting, and techniques was found.Radiotherapy was administered as definitive treatment for primary or recurrent disease after surgery in 18 studies with doses ranging from 30 to 80.2 Gy delivered in 3 to 43 fractions. Radiotherapy was administered as postoperative adjuvant treatment in 9 articles with doses ranging between 32 and 64.8 Gy in 20 to 30 fractions. Two studies reported the RT use in preoperative neoadjuvant setting with doses ranging between 40 and 43.30 Gy, and 2 experiences reported the RT treatment for in situ EMPD, using 39.6 to 40 Gy. Adverse events were reported in almost all but 2 articles and were grade 2 or lower.The 18 studies evaluating RT as definitive treatment for primary or recurrent disease after surgery reported a complete response rate ranging from 50% to 100%, with a variable rate of local relapse or persistent disease ranging from 0% to 80% of cases. The 9 studies evaluating RT as postoperative adjuvant treatment reported a local relapse or persistent disease rate of 0% to 62.5%. A dose-response relationship was reported suggesting doses greater than or equal to 60 Gy for gross tumor volume treatment. Local control, disease-free survival, and overall survival at 12, 20, and 60 months have been retrieved for available data, respectively.In patients with EMPD and concurrent underlying internal malignancy, the prognosis was often worsened by the latter. In this setting, literature analysis showed a potential RT palliative role for symptoms control or local control maintenance.Derma tumor invasion greater than 1 mm and lymph node metastases were reported to be important prognostic factors for distant metastases or death.\nCONCLUSIONS: To date, literature highlights the role of RT in the management of EMPD, but with low level of evidences.","container-title":"International Journal of Gynecological Cancer: Official Journal of the International Gynecological Cancer Society","DOI":"10.1097/IGC.0000000000001237","ISSN":"1525-1438","issue":"4","journalAbbreviation":"Int. J. Gynecol. Cancer","language":"eng","note":"PMID: 29538255","page":"829-839","source":"PubMed","title":"The Role of Radiotherapy in Extramammary Paget Disease: A Systematic Review","title-short":"The Role of Radiotherapy in Extramammary Paget Disease","volume":"28","author":[{"family":"Tagliaferri","given":"L."},{"family":"Casà","given":"C."},{"family":"Macchia","given":"G."},{"family":"Pesce","given":"A."},{"family":"Garganese","given":"G."},{"family":"Gui","given":"B."},{"family":"Perotti","given":"G."},{"family":"Gentileschi","given":"S."},{"family":"Inzani","given":"F."},{"family":"Autorino","given":"R."},{"family":"Cammelli","given":"S."},{"family":"Morganti","given":"A. G."},{"family":"Valentini","given":"V."},{"family":"Gambacorta","given":"M. A."}],"issued":{"date-parts":[["2018"]]}}},{"id":1598,"uris":["http://zotero.org/users/3755985/items/L4HEEX69"],"uri":["http://zotero.org/users/3755985/items/L4HEEX69"],"itemData":{"id":1598,"type":"article-journal","abstract":"OBJECTIVE: To examine the effectiveness of topical imiquimod therapy for vulvar Paget's disease.\nMETHODS: A systematic literature search was conducted using three public search engines with entry keywords \"Paget's disease\" and \"imiquimod\". Case reports describing imiquimod treatment for vulvar Paget's disease were examined for demographics, treatment patterns, and outcome (63 cases).\nRESULTS: Median age was 68, and nearly a half of cases were recurrent disease (50.8%) with surgical resection being the most common prior treatment modality (62.5%). All cases used 5% imiquimod and the median treatment duration was 4months. The most common initial treatment frequency was 3-4times/week (68.3%) followed by 5-7 (17.4%) and 1-2times/week (14.3%). Frequency-reduction due to adverse effects was seen in 9.5% with the initial 5-7times/week regimen being associated with the highest reduction rate (1-2, 3-4, and 5-7times/week: 0%, 2.3%, and 81.8%, p&lt;0.01). In 46 (73.0%) cases, a complete remission (CR) to imiquimod therapy was reported, with 2, 4, and 6-month cumulative CR rates being 9.8%, 31.1%, and 71.6%, respectively. With median follow-up duration of 12months after the completion of imiquimod treatment, 2 (5.7%) of the 35 women who had a CR developed disease recurrence. Age, disease status (primary versus recurrent), and treatment frequency after dose reduction were not associated with CR rates (all, p&gt;0.05).\nCONCLUSION: Our results suggested that imiquimod therapy may be an effective possible treatment option for vulvar Paget's disease, especially for women who have experienced recurrence after multiple surgical resections or who are with poor surgical candidates.","container-title":"Gynecologic Oncology","DOI":"10.1016/j.ygyno.2015.07.097","ISSN":"1095-6859","issue":"1","journalAbbreviation":"Gynecol. Oncol.","language":"eng","note":"PMID: 26193428","page":"165-171","source":"PubMed","title":"Effects of imiquimod on vulvar Paget's disease: a systematic review of literature","title-short":"Effects of imiquimod on vulvar Paget's disease","volume":"139","author":[{"family":"Machida","given":"Hiroko"},{"family":"Moeini","given":"Aida"},{"family":"Roman","given":"Lynda D."},{"family":"Matsuo","given":"Koji"}],"issued":{"date-parts":[["2015",10]]}}},{"id":1600,"uris":["http://zotero.org/users/3755985/items/HTPZ64RM"],"uri":["http://zotero.org/users/3755985/items/HTPZ64RM"],"itemData":{"id":1600,"type":"article-journal","abstract":"BACKGROUND: This is an updated version of the original Cochrane Review published in Issue 10, 2013.Extramammary Paget's disease is a rare form of superficial skin cancer. The most common site of involvement is the vulva. It is seen mainly in postmenopausal white women. Paget's disease of the vulva often spreads in an occult fashion, with margins extending beyond the apparent edges of the lesion. There is a range of interventions from surgical to non-invasive techniques or treatments. The challenges of interventions are to remove or treat disease that may not be visible, without overtreatment and with minimisation of morbidity from radical surgery. There is little consensus regarding treatment. Surgery, by default, is the most common treatment, but it is challenging to excise the disease adequately, and recurrence is common, leading to repeated operations, and destruction of anatomy. Alternative treatments of photodynamic therapy, laser therapy, radiotherapy, topical treatments or even chemotherapy have been mooted, and it is important to evaluate the available evidence. It is essential to assess whether newer cell-specific treatments, such as photodynamic therapy and imiquimod, can reduce the need for radical surgery.\nOBJECTIVES: To evaluate the benefits and harms of different treatment modalities for the management of Paget's disease of the vulva.\nSEARCH METHODS: We searched the Cochrane Central Register of Controlled Trials (CENTRAL), MEDLINE (via Ovid) and Embase (via Ovid) up to 8 May 2018. We also searched registers of clinical trials, abstracts of scientific meetings and reference lists of review articles.\nSELECTION CRITERIA: We searched for randomised controlled trials (RCTs) and well-designed non-randomised studies that compared different interventions in women with Paget's disease of the vulva, DATA COLLECTION AND ANALYSIS: Two review authors independently assessed whether potentially relevant studies met the inclusion criteria. We found no trials and, therefore, analysed no data.\nMAIN RESULTS: The search for the original version of the review identified 635 unique references. We found 31 references (which reported on 30 studies) in full text after inspection of titles and abstracts, but we excluded them all as they did not meet the inclusion criteria. However, we have included a comprehensive narrative account of studies where we identified an analysis of more than 10 women, as this forms the only evidence base in this rare disease. Surgery continues to be the mainstay of treatment in the current literature, with other treatments limited to case reports or treatment of inoperable or recurrent disease.This update between September 2013 and May 2018 identified 35 new studies. None of these met the inclusion criteria. There was only one prospective study of 5% imiquimod in recurrent Paget's disease of the vulva, which although of good quality only included eight women.\nAUTHORS' CONCLUSIONS: Since the last version of the review was published there are many more cases in the literature reporting a clinical response to 5% imiquimod cream. There is one prospective study of eight women treated with 5% imiquimod for recurrent Paget's disease of the vulva, and one prospective trial of 20 women was due to be reported. This increasing evidence for the safety and efficacy of 5% imiquimod will be helpful for women and clinicians alike. Ideally, a multicentre RCT of reasonable size is needed, but ongoing publications of high-quality non-randomised prospective studies will enhance the current available literature.","container-title":"The Cochrane Database of Systematic Reviews","DOI":"10.1002/14651858.CD009245.pub3","ISSN":"1469-493X","journalAbbreviation":"Cochrane Database Syst Rev","language":"eng","note":"PMID: 31167037\nPMCID: PMC6550364","page":"CD009245","source":"PubMed","title":"Interventions for the treatment of Paget's disease of the vulva","volume":"6","author":[{"family":"Edey","given":"Katharine A."},{"family":"Allan","given":"Ernest"},{"family":"Murdoch","given":"John B."},{"family":"Cooper","given":"Susan"},{"family":"Bryant","given":"Andrew"}],"issued":{"date-parts":[["2019"]],"season":"05"}}}],"schema":"https://github.com/citation-style-language/schema/raw/master/csl-citation.json"} </w:instrText>
      </w:r>
      <w:r w:rsidRPr="00034EE9">
        <w:rPr>
          <w:rFonts w:asciiTheme="majorBidi" w:hAnsiTheme="majorBidi" w:cstheme="majorBidi"/>
          <w:sz w:val="24"/>
          <w:szCs w:val="24"/>
        </w:rPr>
        <w:fldChar w:fldCharType="separate"/>
      </w:r>
      <w:r w:rsidRPr="00034EE9">
        <w:rPr>
          <w:rFonts w:ascii="Times New Roman" w:hAnsi="Times New Roman" w:cs="Times New Roman"/>
          <w:sz w:val="24"/>
          <w:szCs w:val="24"/>
        </w:rPr>
        <w:t>[9–12,</w:t>
      </w:r>
      <w:r w:rsidR="00E87022">
        <w:rPr>
          <w:rFonts w:ascii="Times New Roman" w:hAnsi="Times New Roman" w:cs="Times New Roman"/>
          <w:sz w:val="24"/>
          <w:szCs w:val="24"/>
        </w:rPr>
        <w:t xml:space="preserve"> </w:t>
      </w:r>
      <w:r w:rsidRPr="00034EE9">
        <w:rPr>
          <w:rFonts w:ascii="Times New Roman" w:hAnsi="Times New Roman" w:cs="Times New Roman"/>
          <w:sz w:val="24"/>
          <w:szCs w:val="24"/>
        </w:rPr>
        <w:t>14]</w:t>
      </w:r>
      <w:r w:rsidRPr="00034EE9">
        <w:rPr>
          <w:rFonts w:asciiTheme="majorBidi" w:hAnsiTheme="majorBidi" w:cstheme="majorBidi"/>
          <w:sz w:val="24"/>
          <w:szCs w:val="24"/>
        </w:rPr>
        <w:fldChar w:fldCharType="end"/>
      </w:r>
      <w:r w:rsidR="00E87022">
        <w:rPr>
          <w:rFonts w:asciiTheme="majorBidi" w:hAnsiTheme="majorBidi" w:cstheme="majorBidi"/>
          <w:sz w:val="24"/>
          <w:szCs w:val="24"/>
        </w:rPr>
        <w:t>.</w:t>
      </w:r>
      <w:r w:rsidRPr="00034EE9">
        <w:rPr>
          <w:rFonts w:asciiTheme="majorBidi" w:hAnsiTheme="majorBidi" w:cstheme="majorBidi"/>
          <w:sz w:val="24"/>
          <w:szCs w:val="24"/>
        </w:rPr>
        <w:t xml:space="preserve"> </w:t>
      </w:r>
      <w:r w:rsidRPr="00034EE9">
        <w:rPr>
          <w:rFonts w:asciiTheme="majorBidi" w:hAnsiTheme="majorBidi" w:cstheme="majorBidi"/>
          <w:color w:val="000000" w:themeColor="text1"/>
          <w:sz w:val="24"/>
          <w:szCs w:val="24"/>
        </w:rPr>
        <w:t xml:space="preserve">The following search criteria were used: </w:t>
      </w:r>
      <w:r w:rsidRPr="00034EE9">
        <w:rPr>
          <w:rFonts w:asciiTheme="majorBidi" w:hAnsiTheme="majorBidi" w:cstheme="majorBidi"/>
          <w:color w:val="222222"/>
          <w:sz w:val="24"/>
          <w:szCs w:val="24"/>
          <w:shd w:val="clear" w:color="auto" w:fill="FFFFFF"/>
        </w:rPr>
        <w:t>(“</w:t>
      </w:r>
      <w:proofErr w:type="spellStart"/>
      <w:r w:rsidRPr="00034EE9">
        <w:rPr>
          <w:rFonts w:asciiTheme="majorBidi" w:hAnsiTheme="majorBidi" w:cstheme="majorBidi"/>
          <w:color w:val="222222"/>
          <w:sz w:val="24"/>
          <w:szCs w:val="24"/>
          <w:shd w:val="clear" w:color="auto" w:fill="FFFFFF"/>
        </w:rPr>
        <w:t>paget</w:t>
      </w:r>
      <w:proofErr w:type="spellEnd"/>
      <w:r w:rsidRPr="00034EE9">
        <w:rPr>
          <w:rFonts w:asciiTheme="majorBidi" w:hAnsiTheme="majorBidi" w:cstheme="majorBidi"/>
          <w:color w:val="222222"/>
          <w:sz w:val="24"/>
          <w:szCs w:val="24"/>
          <w:shd w:val="clear" w:color="auto" w:fill="FFFFFF"/>
        </w:rPr>
        <w:t>"[</w:t>
      </w:r>
      <w:proofErr w:type="spellStart"/>
      <w:r w:rsidRPr="00034EE9">
        <w:rPr>
          <w:rFonts w:asciiTheme="majorBidi" w:hAnsiTheme="majorBidi" w:cstheme="majorBidi"/>
          <w:color w:val="222222"/>
          <w:sz w:val="24"/>
          <w:szCs w:val="24"/>
          <w:shd w:val="clear" w:color="auto" w:fill="FFFFFF"/>
        </w:rPr>
        <w:t>MeSH</w:t>
      </w:r>
      <w:proofErr w:type="spellEnd"/>
      <w:r w:rsidRPr="00034EE9">
        <w:rPr>
          <w:rFonts w:asciiTheme="majorBidi" w:hAnsiTheme="majorBidi" w:cstheme="majorBidi"/>
          <w:color w:val="222222"/>
          <w:sz w:val="24"/>
          <w:szCs w:val="24"/>
          <w:shd w:val="clear" w:color="auto" w:fill="FFFFFF"/>
        </w:rPr>
        <w:t>] OR "</w:t>
      </w:r>
      <w:proofErr w:type="spellStart"/>
      <w:r w:rsidRPr="00034EE9">
        <w:rPr>
          <w:rFonts w:asciiTheme="majorBidi" w:hAnsiTheme="majorBidi" w:cstheme="majorBidi"/>
          <w:color w:val="222222"/>
          <w:sz w:val="24"/>
          <w:szCs w:val="24"/>
          <w:shd w:val="clear" w:color="auto" w:fill="FFFFFF"/>
        </w:rPr>
        <w:t>paget</w:t>
      </w:r>
      <w:proofErr w:type="spellEnd"/>
      <w:r w:rsidRPr="00034EE9">
        <w:rPr>
          <w:rFonts w:asciiTheme="majorBidi" w:hAnsiTheme="majorBidi" w:cstheme="majorBidi"/>
          <w:color w:val="222222"/>
          <w:sz w:val="24"/>
          <w:szCs w:val="24"/>
          <w:shd w:val="clear" w:color="auto" w:fill="FFFFFF"/>
        </w:rPr>
        <w:t>"[All Fields]) AND ("</w:t>
      </w:r>
      <w:proofErr w:type="spellStart"/>
      <w:r w:rsidRPr="00034EE9">
        <w:rPr>
          <w:rFonts w:asciiTheme="majorBidi" w:hAnsiTheme="majorBidi" w:cstheme="majorBidi"/>
          <w:color w:val="222222"/>
          <w:sz w:val="24"/>
          <w:szCs w:val="24"/>
          <w:shd w:val="clear" w:color="auto" w:fill="FFFFFF"/>
        </w:rPr>
        <w:t>imiquimod</w:t>
      </w:r>
      <w:proofErr w:type="spellEnd"/>
      <w:r w:rsidRPr="00034EE9">
        <w:rPr>
          <w:rFonts w:asciiTheme="majorBidi" w:hAnsiTheme="majorBidi" w:cstheme="majorBidi"/>
          <w:color w:val="222222"/>
          <w:sz w:val="24"/>
          <w:szCs w:val="24"/>
          <w:shd w:val="clear" w:color="auto" w:fill="FFFFFF"/>
        </w:rPr>
        <w:t>"[All Fields] OR "</w:t>
      </w:r>
      <w:proofErr w:type="spellStart"/>
      <w:r w:rsidRPr="00034EE9">
        <w:rPr>
          <w:rFonts w:asciiTheme="majorBidi" w:hAnsiTheme="majorBidi" w:cstheme="majorBidi"/>
          <w:color w:val="222222"/>
          <w:sz w:val="24"/>
          <w:szCs w:val="24"/>
          <w:shd w:val="clear" w:color="auto" w:fill="FFFFFF"/>
        </w:rPr>
        <w:t>imiquimod</w:t>
      </w:r>
      <w:proofErr w:type="spellEnd"/>
      <w:r w:rsidRPr="00034EE9">
        <w:rPr>
          <w:rFonts w:asciiTheme="majorBidi" w:hAnsiTheme="majorBidi" w:cstheme="majorBidi"/>
          <w:color w:val="222222"/>
          <w:sz w:val="24"/>
          <w:szCs w:val="24"/>
          <w:shd w:val="clear" w:color="auto" w:fill="FFFFFF"/>
        </w:rPr>
        <w:t>"[</w:t>
      </w:r>
      <w:proofErr w:type="spellStart"/>
      <w:r w:rsidRPr="00034EE9">
        <w:rPr>
          <w:rFonts w:asciiTheme="majorBidi" w:hAnsiTheme="majorBidi" w:cstheme="majorBidi"/>
          <w:color w:val="222222"/>
          <w:sz w:val="24"/>
          <w:szCs w:val="24"/>
          <w:shd w:val="clear" w:color="auto" w:fill="FFFFFF"/>
        </w:rPr>
        <w:t>MeSH</w:t>
      </w:r>
      <w:proofErr w:type="spellEnd"/>
      <w:r w:rsidRPr="00034EE9">
        <w:rPr>
          <w:rFonts w:asciiTheme="majorBidi" w:hAnsiTheme="majorBidi" w:cstheme="majorBidi"/>
          <w:color w:val="222222"/>
          <w:sz w:val="24"/>
          <w:szCs w:val="24"/>
          <w:shd w:val="clear" w:color="auto" w:fill="FFFFFF"/>
        </w:rPr>
        <w:t>] OR "laser"[All Fields] OR "laser"[</w:t>
      </w:r>
      <w:proofErr w:type="spellStart"/>
      <w:r w:rsidRPr="00034EE9">
        <w:rPr>
          <w:rFonts w:asciiTheme="majorBidi" w:hAnsiTheme="majorBidi" w:cstheme="majorBidi"/>
          <w:color w:val="222222"/>
          <w:sz w:val="24"/>
          <w:szCs w:val="24"/>
          <w:shd w:val="clear" w:color="auto" w:fill="FFFFFF"/>
        </w:rPr>
        <w:t>MeSH</w:t>
      </w:r>
      <w:proofErr w:type="spellEnd"/>
      <w:r w:rsidRPr="00034EE9">
        <w:rPr>
          <w:rFonts w:asciiTheme="majorBidi" w:hAnsiTheme="majorBidi" w:cstheme="majorBidi"/>
          <w:color w:val="222222"/>
          <w:sz w:val="24"/>
          <w:szCs w:val="24"/>
          <w:shd w:val="clear" w:color="auto" w:fill="FFFFFF"/>
        </w:rPr>
        <w:t>] OR "5-fu"[All Fields] OR "5-fu"[</w:t>
      </w:r>
      <w:proofErr w:type="spellStart"/>
      <w:r w:rsidRPr="00034EE9">
        <w:rPr>
          <w:rFonts w:asciiTheme="majorBidi" w:hAnsiTheme="majorBidi" w:cstheme="majorBidi"/>
          <w:color w:val="222222"/>
          <w:sz w:val="24"/>
          <w:szCs w:val="24"/>
          <w:shd w:val="clear" w:color="auto" w:fill="FFFFFF"/>
        </w:rPr>
        <w:t>MeSH</w:t>
      </w:r>
      <w:proofErr w:type="spellEnd"/>
      <w:r w:rsidRPr="00034EE9">
        <w:rPr>
          <w:rFonts w:asciiTheme="majorBidi" w:hAnsiTheme="majorBidi" w:cstheme="majorBidi"/>
          <w:color w:val="222222"/>
          <w:sz w:val="24"/>
          <w:szCs w:val="24"/>
          <w:shd w:val="clear" w:color="auto" w:fill="FFFFFF"/>
        </w:rPr>
        <w:t>] OR "fluorouracil"[All Fields] OR "fluorouracil"[</w:t>
      </w:r>
      <w:proofErr w:type="spellStart"/>
      <w:r w:rsidRPr="00034EE9">
        <w:rPr>
          <w:rFonts w:asciiTheme="majorBidi" w:hAnsiTheme="majorBidi" w:cstheme="majorBidi"/>
          <w:color w:val="222222"/>
          <w:sz w:val="24"/>
          <w:szCs w:val="24"/>
          <w:shd w:val="clear" w:color="auto" w:fill="FFFFFF"/>
        </w:rPr>
        <w:t>MeSH</w:t>
      </w:r>
      <w:proofErr w:type="spellEnd"/>
      <w:r w:rsidRPr="00034EE9">
        <w:rPr>
          <w:rFonts w:asciiTheme="majorBidi" w:hAnsiTheme="majorBidi" w:cstheme="majorBidi"/>
          <w:color w:val="222222"/>
          <w:sz w:val="24"/>
          <w:szCs w:val="24"/>
          <w:shd w:val="clear" w:color="auto" w:fill="FFFFFF"/>
        </w:rPr>
        <w:t>] OR "5-ALA"[All Fields] OR "5-ALA"[</w:t>
      </w:r>
      <w:proofErr w:type="spellStart"/>
      <w:r w:rsidRPr="00034EE9">
        <w:rPr>
          <w:rFonts w:asciiTheme="majorBidi" w:hAnsiTheme="majorBidi" w:cstheme="majorBidi"/>
          <w:color w:val="222222"/>
          <w:sz w:val="24"/>
          <w:szCs w:val="24"/>
          <w:shd w:val="clear" w:color="auto" w:fill="FFFFFF"/>
        </w:rPr>
        <w:t>MeSH</w:t>
      </w:r>
      <w:proofErr w:type="spellEnd"/>
      <w:r w:rsidRPr="00034EE9">
        <w:rPr>
          <w:rFonts w:asciiTheme="majorBidi" w:hAnsiTheme="majorBidi" w:cstheme="majorBidi"/>
          <w:color w:val="222222"/>
          <w:sz w:val="24"/>
          <w:szCs w:val="24"/>
          <w:shd w:val="clear" w:color="auto" w:fill="FFFFFF"/>
        </w:rPr>
        <w:t>] OR "</w:t>
      </w:r>
      <w:proofErr w:type="spellStart"/>
      <w:r w:rsidRPr="00034EE9">
        <w:rPr>
          <w:rFonts w:asciiTheme="majorBidi" w:hAnsiTheme="majorBidi" w:cstheme="majorBidi"/>
          <w:color w:val="222222"/>
          <w:sz w:val="24"/>
          <w:szCs w:val="24"/>
          <w:shd w:val="clear" w:color="auto" w:fill="FFFFFF"/>
        </w:rPr>
        <w:t>aminolevulinic</w:t>
      </w:r>
      <w:proofErr w:type="spellEnd"/>
      <w:r w:rsidRPr="00034EE9">
        <w:rPr>
          <w:rFonts w:asciiTheme="majorBidi" w:hAnsiTheme="majorBidi" w:cstheme="majorBidi"/>
          <w:color w:val="222222"/>
          <w:sz w:val="24"/>
          <w:szCs w:val="24"/>
          <w:shd w:val="clear" w:color="auto" w:fill="FFFFFF"/>
        </w:rPr>
        <w:t>"[All Fields] OR "</w:t>
      </w:r>
      <w:proofErr w:type="spellStart"/>
      <w:r w:rsidRPr="00034EE9">
        <w:rPr>
          <w:rFonts w:asciiTheme="majorBidi" w:hAnsiTheme="majorBidi" w:cstheme="majorBidi"/>
          <w:color w:val="222222"/>
          <w:sz w:val="24"/>
          <w:szCs w:val="24"/>
          <w:shd w:val="clear" w:color="auto" w:fill="FFFFFF"/>
        </w:rPr>
        <w:t>aminolevulinic</w:t>
      </w:r>
      <w:proofErr w:type="spellEnd"/>
      <w:r w:rsidRPr="00034EE9">
        <w:rPr>
          <w:rFonts w:asciiTheme="majorBidi" w:hAnsiTheme="majorBidi" w:cstheme="majorBidi"/>
          <w:color w:val="222222"/>
          <w:sz w:val="24"/>
          <w:szCs w:val="24"/>
          <w:shd w:val="clear" w:color="auto" w:fill="FFFFFF"/>
        </w:rPr>
        <w:t xml:space="preserve"> "[</w:t>
      </w:r>
      <w:proofErr w:type="spellStart"/>
      <w:r w:rsidRPr="00034EE9">
        <w:rPr>
          <w:rFonts w:asciiTheme="majorBidi" w:hAnsiTheme="majorBidi" w:cstheme="majorBidi"/>
          <w:color w:val="222222"/>
          <w:sz w:val="24"/>
          <w:szCs w:val="24"/>
          <w:shd w:val="clear" w:color="auto" w:fill="FFFFFF"/>
        </w:rPr>
        <w:t>MeSH</w:t>
      </w:r>
      <w:proofErr w:type="spellEnd"/>
      <w:r w:rsidRPr="00034EE9">
        <w:rPr>
          <w:rFonts w:asciiTheme="majorBidi" w:hAnsiTheme="majorBidi" w:cstheme="majorBidi"/>
          <w:color w:val="222222"/>
          <w:sz w:val="24"/>
          <w:szCs w:val="24"/>
          <w:shd w:val="clear" w:color="auto" w:fill="FFFFFF"/>
        </w:rPr>
        <w:t>] OR "PDT"[All Fields] OR "PDT "[</w:t>
      </w:r>
      <w:proofErr w:type="spellStart"/>
      <w:r w:rsidRPr="00034EE9">
        <w:rPr>
          <w:rFonts w:asciiTheme="majorBidi" w:hAnsiTheme="majorBidi" w:cstheme="majorBidi"/>
          <w:color w:val="222222"/>
          <w:sz w:val="24"/>
          <w:szCs w:val="24"/>
          <w:shd w:val="clear" w:color="auto" w:fill="FFFFFF"/>
        </w:rPr>
        <w:t>MeSH</w:t>
      </w:r>
      <w:proofErr w:type="spellEnd"/>
      <w:r w:rsidRPr="00034EE9">
        <w:rPr>
          <w:rFonts w:asciiTheme="majorBidi" w:hAnsiTheme="majorBidi" w:cstheme="majorBidi"/>
          <w:color w:val="222222"/>
          <w:sz w:val="24"/>
          <w:szCs w:val="24"/>
          <w:shd w:val="clear" w:color="auto" w:fill="FFFFFF"/>
        </w:rPr>
        <w:t>] OR "photodynamic"[All Fields] OR "photodynamic "[</w:t>
      </w:r>
      <w:proofErr w:type="spellStart"/>
      <w:r w:rsidRPr="00034EE9">
        <w:rPr>
          <w:rFonts w:asciiTheme="majorBidi" w:hAnsiTheme="majorBidi" w:cstheme="majorBidi"/>
          <w:color w:val="222222"/>
          <w:sz w:val="24"/>
          <w:szCs w:val="24"/>
          <w:shd w:val="clear" w:color="auto" w:fill="FFFFFF"/>
        </w:rPr>
        <w:t>MeSH</w:t>
      </w:r>
      <w:proofErr w:type="spellEnd"/>
      <w:r w:rsidRPr="00034EE9">
        <w:rPr>
          <w:rFonts w:asciiTheme="majorBidi" w:hAnsiTheme="majorBidi" w:cstheme="majorBidi"/>
          <w:color w:val="222222"/>
          <w:sz w:val="24"/>
          <w:szCs w:val="24"/>
          <w:shd w:val="clear" w:color="auto" w:fill="FFFFFF"/>
        </w:rPr>
        <w:t>])</w:t>
      </w:r>
      <w:r w:rsidRPr="00034EE9">
        <w:rPr>
          <w:rFonts w:asciiTheme="majorBidi" w:hAnsiTheme="majorBidi" w:cstheme="majorBidi"/>
          <w:color w:val="000000" w:themeColor="text1"/>
          <w:sz w:val="24"/>
          <w:szCs w:val="24"/>
        </w:rPr>
        <w:t xml:space="preserve">. </w:t>
      </w:r>
    </w:p>
    <w:p w:rsidR="00653B50" w:rsidRPr="00034EE9" w:rsidRDefault="00653B50" w:rsidP="00653B50">
      <w:pPr>
        <w:shd w:val="clear" w:color="auto" w:fill="FFFFFF" w:themeFill="background1"/>
        <w:spacing w:before="120" w:after="0" w:line="480" w:lineRule="auto"/>
        <w:rPr>
          <w:rFonts w:asciiTheme="majorBidi" w:hAnsiTheme="majorBidi" w:cstheme="majorBidi"/>
          <w:b/>
          <w:bCs/>
          <w:color w:val="000000" w:themeColor="text1"/>
          <w:sz w:val="24"/>
          <w:szCs w:val="24"/>
        </w:rPr>
      </w:pPr>
      <w:r w:rsidRPr="00034EE9">
        <w:rPr>
          <w:rFonts w:asciiTheme="majorBidi" w:hAnsiTheme="majorBidi" w:cstheme="majorBidi"/>
          <w:b/>
          <w:bCs/>
          <w:color w:val="000000" w:themeColor="text1"/>
          <w:sz w:val="24"/>
          <w:szCs w:val="24"/>
        </w:rPr>
        <w:t xml:space="preserve">Eligibility </w:t>
      </w:r>
      <w:r w:rsidR="00E87022" w:rsidRPr="00034EE9">
        <w:rPr>
          <w:rFonts w:asciiTheme="majorBidi" w:hAnsiTheme="majorBidi" w:cstheme="majorBidi"/>
          <w:b/>
          <w:bCs/>
          <w:color w:val="000000" w:themeColor="text1"/>
          <w:sz w:val="24"/>
          <w:szCs w:val="24"/>
        </w:rPr>
        <w:t>Criteria</w:t>
      </w:r>
    </w:p>
    <w:p w:rsidR="00653B50" w:rsidRPr="00034EE9" w:rsidRDefault="00653B50" w:rsidP="00653B50">
      <w:pPr>
        <w:shd w:val="clear" w:color="auto" w:fill="FFFFFF" w:themeFill="background1"/>
        <w:autoSpaceDE w:val="0"/>
        <w:autoSpaceDN w:val="0"/>
        <w:adjustRightInd w:val="0"/>
        <w:snapToGrid w:val="0"/>
        <w:spacing w:before="120" w:after="0" w:line="480" w:lineRule="auto"/>
        <w:rPr>
          <w:rFonts w:asciiTheme="majorBidi" w:eastAsia="ArialMT" w:hAnsiTheme="majorBidi" w:cstheme="majorBidi"/>
          <w:color w:val="000000" w:themeColor="text1"/>
          <w:sz w:val="24"/>
          <w:szCs w:val="24"/>
        </w:rPr>
      </w:pPr>
      <w:r w:rsidRPr="00034EE9">
        <w:rPr>
          <w:rFonts w:asciiTheme="majorBidi" w:hAnsiTheme="majorBidi" w:cstheme="majorBidi"/>
          <w:color w:val="000000" w:themeColor="text1"/>
          <w:sz w:val="24"/>
          <w:szCs w:val="24"/>
        </w:rPr>
        <w:t>Studies that met the following criteria were included</w:t>
      </w:r>
      <w:r w:rsidRPr="00034EE9">
        <w:rPr>
          <w:rFonts w:asciiTheme="majorBidi" w:hAnsiTheme="majorBidi" w:cstheme="majorBidi"/>
          <w:color w:val="000000" w:themeColor="text1"/>
          <w:sz w:val="24"/>
          <w:szCs w:val="24"/>
          <w:lang w:val="x-none"/>
        </w:rPr>
        <w:t>:</w:t>
      </w:r>
      <w:r w:rsidRPr="00034EE9">
        <w:rPr>
          <w:rFonts w:asciiTheme="majorBidi" w:hAnsiTheme="majorBidi" w:cstheme="majorBidi"/>
          <w:color w:val="000000" w:themeColor="text1"/>
          <w:sz w:val="24"/>
          <w:szCs w:val="24"/>
        </w:rPr>
        <w:t xml:space="preserve"> (</w:t>
      </w:r>
      <w:proofErr w:type="spellStart"/>
      <w:r w:rsidRPr="00034EE9">
        <w:rPr>
          <w:rFonts w:asciiTheme="majorBidi" w:hAnsiTheme="majorBidi" w:cstheme="majorBidi"/>
          <w:color w:val="000000" w:themeColor="text1"/>
          <w:sz w:val="24"/>
          <w:szCs w:val="24"/>
        </w:rPr>
        <w:t>i</w:t>
      </w:r>
      <w:proofErr w:type="spellEnd"/>
      <w:r w:rsidRPr="00034EE9">
        <w:rPr>
          <w:rFonts w:asciiTheme="majorBidi" w:hAnsiTheme="majorBidi" w:cstheme="majorBidi"/>
          <w:color w:val="000000" w:themeColor="text1"/>
          <w:sz w:val="24"/>
          <w:szCs w:val="24"/>
        </w:rPr>
        <w:t xml:space="preserve">) relevance </w:t>
      </w:r>
      <w:r w:rsidR="00E87022">
        <w:rPr>
          <w:rFonts w:asciiTheme="majorBidi" w:hAnsiTheme="majorBidi" w:cstheme="majorBidi"/>
          <w:color w:val="000000" w:themeColor="text1"/>
          <w:sz w:val="24"/>
          <w:szCs w:val="24"/>
        </w:rPr>
        <w:t>–</w:t>
      </w:r>
      <w:r w:rsidRPr="00034EE9">
        <w:rPr>
          <w:rFonts w:asciiTheme="majorBidi" w:eastAsia="ArialMT" w:hAnsiTheme="majorBidi" w:cstheme="majorBidi"/>
          <w:color w:val="000000" w:themeColor="text1"/>
          <w:sz w:val="24"/>
          <w:szCs w:val="24"/>
        </w:rPr>
        <w:t xml:space="preserve"> original study of any design evaluating </w:t>
      </w:r>
      <w:r w:rsidRPr="00034EE9">
        <w:rPr>
          <w:rFonts w:asciiTheme="majorBidi" w:hAnsiTheme="majorBidi" w:cstheme="majorBidi"/>
          <w:sz w:val="24"/>
          <w:szCs w:val="24"/>
        </w:rPr>
        <w:t>nonsurgical treatments for EMPD</w:t>
      </w:r>
      <w:r w:rsidRPr="00034EE9">
        <w:rPr>
          <w:rFonts w:asciiTheme="majorBidi" w:hAnsiTheme="majorBidi" w:cstheme="majorBidi"/>
          <w:color w:val="000000" w:themeColor="text1"/>
          <w:sz w:val="24"/>
          <w:szCs w:val="24"/>
        </w:rPr>
        <w:t>;</w:t>
      </w:r>
      <w:r w:rsidRPr="00034EE9">
        <w:rPr>
          <w:rFonts w:asciiTheme="majorBidi" w:eastAsia="ArialMT" w:hAnsiTheme="majorBidi" w:cstheme="majorBidi"/>
          <w:color w:val="000000" w:themeColor="text1"/>
          <w:sz w:val="24"/>
          <w:szCs w:val="24"/>
        </w:rPr>
        <w:t xml:space="preserve"> and (ii) participants </w:t>
      </w:r>
      <w:r w:rsidR="00E87022">
        <w:rPr>
          <w:rFonts w:asciiTheme="majorBidi" w:eastAsia="ArialMT" w:hAnsiTheme="majorBidi" w:cstheme="majorBidi"/>
          <w:color w:val="000000" w:themeColor="text1"/>
          <w:sz w:val="24"/>
          <w:szCs w:val="24"/>
        </w:rPr>
        <w:t>–</w:t>
      </w:r>
      <w:r w:rsidRPr="00034EE9">
        <w:rPr>
          <w:rFonts w:asciiTheme="majorBidi" w:eastAsia="ArialMT" w:hAnsiTheme="majorBidi" w:cstheme="majorBidi"/>
          <w:color w:val="000000" w:themeColor="text1"/>
          <w:sz w:val="24"/>
          <w:szCs w:val="24"/>
        </w:rPr>
        <w:t xml:space="preserve"> patients of both sexes of any age with a clinical and histological diagnosis of early EMPD. </w:t>
      </w:r>
      <w:r w:rsidRPr="00034EE9">
        <w:rPr>
          <w:rFonts w:asciiTheme="majorBidi" w:hAnsiTheme="majorBidi" w:cstheme="majorBidi"/>
          <w:color w:val="000000" w:themeColor="text1"/>
          <w:sz w:val="24"/>
          <w:szCs w:val="24"/>
        </w:rPr>
        <w:t>We excluded: (</w:t>
      </w:r>
      <w:proofErr w:type="spellStart"/>
      <w:r w:rsidRPr="00034EE9">
        <w:rPr>
          <w:rFonts w:asciiTheme="majorBidi" w:hAnsiTheme="majorBidi" w:cstheme="majorBidi"/>
          <w:color w:val="000000" w:themeColor="text1"/>
          <w:sz w:val="24"/>
          <w:szCs w:val="24"/>
        </w:rPr>
        <w:t>i</w:t>
      </w:r>
      <w:proofErr w:type="spellEnd"/>
      <w:r w:rsidRPr="00034EE9">
        <w:rPr>
          <w:rFonts w:asciiTheme="majorBidi" w:hAnsiTheme="majorBidi" w:cstheme="majorBidi"/>
          <w:color w:val="000000" w:themeColor="text1"/>
          <w:sz w:val="24"/>
          <w:szCs w:val="24"/>
        </w:rPr>
        <w:t xml:space="preserve">) </w:t>
      </w:r>
      <w:r w:rsidRPr="00034EE9">
        <w:rPr>
          <w:rFonts w:asciiTheme="majorBidi" w:hAnsiTheme="majorBidi" w:cstheme="majorBidi"/>
          <w:sz w:val="24"/>
          <w:szCs w:val="24"/>
        </w:rPr>
        <w:t>c</w:t>
      </w:r>
      <w:proofErr w:type="spellStart"/>
      <w:r w:rsidRPr="00034EE9">
        <w:rPr>
          <w:rFonts w:asciiTheme="majorBidi" w:hAnsiTheme="majorBidi" w:cstheme="majorBidi"/>
          <w:sz w:val="24"/>
          <w:szCs w:val="24"/>
          <w:lang w:val="x-none"/>
        </w:rPr>
        <w:t>ase</w:t>
      </w:r>
      <w:proofErr w:type="spellEnd"/>
      <w:r w:rsidRPr="00034EE9">
        <w:rPr>
          <w:rFonts w:asciiTheme="majorBidi" w:hAnsiTheme="majorBidi" w:cstheme="majorBidi"/>
          <w:sz w:val="24"/>
          <w:szCs w:val="24"/>
          <w:lang w:val="x-none"/>
        </w:rPr>
        <w:t xml:space="preserve"> series </w:t>
      </w:r>
      <w:r w:rsidRPr="00034EE9">
        <w:rPr>
          <w:rFonts w:asciiTheme="majorBidi" w:hAnsiTheme="majorBidi" w:cstheme="majorBidi"/>
          <w:sz w:val="24"/>
          <w:szCs w:val="24"/>
        </w:rPr>
        <w:t>with</w:t>
      </w:r>
      <w:r w:rsidRPr="00034EE9">
        <w:rPr>
          <w:rFonts w:asciiTheme="majorBidi" w:hAnsiTheme="majorBidi" w:cstheme="majorBidi"/>
          <w:sz w:val="24"/>
          <w:szCs w:val="24"/>
          <w:lang w:val="x-none"/>
        </w:rPr>
        <w:t xml:space="preserve"> fewer than </w:t>
      </w:r>
      <w:r w:rsidRPr="00034EE9">
        <w:rPr>
          <w:rFonts w:asciiTheme="majorBidi" w:hAnsiTheme="majorBidi" w:cstheme="majorBidi"/>
          <w:sz w:val="24"/>
          <w:szCs w:val="24"/>
        </w:rPr>
        <w:t>3</w:t>
      </w:r>
      <w:r w:rsidRPr="00034EE9">
        <w:rPr>
          <w:rFonts w:asciiTheme="majorBidi" w:hAnsiTheme="majorBidi" w:cstheme="majorBidi"/>
          <w:sz w:val="24"/>
          <w:szCs w:val="24"/>
          <w:lang w:val="x-none"/>
        </w:rPr>
        <w:t xml:space="preserve"> patients due to risk of publication bias</w:t>
      </w:r>
      <w:r w:rsidRPr="00034EE9">
        <w:rPr>
          <w:rFonts w:asciiTheme="majorBidi" w:hAnsiTheme="majorBidi" w:cstheme="majorBidi"/>
          <w:color w:val="000000" w:themeColor="text1"/>
          <w:sz w:val="24"/>
          <w:szCs w:val="24"/>
        </w:rPr>
        <w:t>;</w:t>
      </w:r>
      <w:r w:rsidRPr="00034EE9">
        <w:rPr>
          <w:rFonts w:asciiTheme="majorBidi" w:hAnsiTheme="majorBidi" w:cstheme="majorBidi"/>
          <w:color w:val="222222"/>
          <w:sz w:val="24"/>
          <w:szCs w:val="24"/>
          <w:shd w:val="clear" w:color="auto" w:fill="FFFFFF"/>
        </w:rPr>
        <w:t xml:space="preserve"> </w:t>
      </w:r>
      <w:r w:rsidRPr="00034EE9">
        <w:rPr>
          <w:rFonts w:asciiTheme="majorBidi" w:hAnsiTheme="majorBidi" w:cstheme="majorBidi"/>
          <w:color w:val="000000" w:themeColor="text1"/>
          <w:sz w:val="24"/>
          <w:szCs w:val="24"/>
        </w:rPr>
        <w:t xml:space="preserve">(ii) </w:t>
      </w:r>
      <w:r w:rsidRPr="00034EE9">
        <w:rPr>
          <w:rFonts w:asciiTheme="majorBidi" w:hAnsiTheme="majorBidi" w:cstheme="majorBidi"/>
          <w:sz w:val="24"/>
          <w:szCs w:val="24"/>
          <w:lang w:val="x-none"/>
        </w:rPr>
        <w:t xml:space="preserve">studies </w:t>
      </w:r>
      <w:r w:rsidRPr="00034EE9">
        <w:rPr>
          <w:rFonts w:asciiTheme="majorBidi" w:hAnsiTheme="majorBidi" w:cstheme="majorBidi"/>
          <w:sz w:val="24"/>
          <w:szCs w:val="24"/>
        </w:rPr>
        <w:t>that</w:t>
      </w:r>
      <w:r w:rsidRPr="00034EE9">
        <w:rPr>
          <w:rFonts w:asciiTheme="majorBidi" w:hAnsiTheme="majorBidi" w:cstheme="majorBidi"/>
          <w:sz w:val="24"/>
          <w:szCs w:val="24"/>
          <w:lang w:val="x-none"/>
        </w:rPr>
        <w:t xml:space="preserve"> did not report at least one outcome</w:t>
      </w:r>
      <w:r w:rsidRPr="00034EE9">
        <w:rPr>
          <w:rFonts w:asciiTheme="majorBidi" w:hAnsiTheme="majorBidi" w:cstheme="majorBidi"/>
          <w:color w:val="000000" w:themeColor="text1"/>
          <w:sz w:val="24"/>
          <w:szCs w:val="24"/>
        </w:rPr>
        <w:t>; (iii) studies evaluating combined surgical and nonsurgical treatments; and (iv) studies focusing on metastatic disease.</w:t>
      </w:r>
    </w:p>
    <w:p w:rsidR="00653B50" w:rsidRPr="00034EE9" w:rsidRDefault="00653B50" w:rsidP="00653B50">
      <w:pPr>
        <w:shd w:val="clear" w:color="auto" w:fill="FFFFFF" w:themeFill="background1"/>
        <w:spacing w:before="120" w:after="0" w:line="480" w:lineRule="auto"/>
        <w:rPr>
          <w:rFonts w:asciiTheme="majorBidi" w:hAnsiTheme="majorBidi" w:cstheme="majorBidi"/>
          <w:b/>
          <w:bCs/>
          <w:sz w:val="24"/>
          <w:szCs w:val="24"/>
        </w:rPr>
      </w:pPr>
      <w:r w:rsidRPr="00034EE9">
        <w:rPr>
          <w:rFonts w:asciiTheme="majorBidi" w:hAnsiTheme="majorBidi" w:cstheme="majorBidi"/>
          <w:b/>
          <w:bCs/>
          <w:sz w:val="24"/>
          <w:szCs w:val="24"/>
        </w:rPr>
        <w:t xml:space="preserve">Outcomes </w:t>
      </w:r>
    </w:p>
    <w:p w:rsidR="00653B50" w:rsidRPr="00034EE9" w:rsidRDefault="00653B50" w:rsidP="00653B50">
      <w:pPr>
        <w:shd w:val="clear" w:color="auto" w:fill="FFFFFF" w:themeFill="background1"/>
        <w:autoSpaceDE w:val="0"/>
        <w:autoSpaceDN w:val="0"/>
        <w:adjustRightInd w:val="0"/>
        <w:snapToGrid w:val="0"/>
        <w:spacing w:before="120" w:after="0" w:line="480" w:lineRule="auto"/>
        <w:rPr>
          <w:rFonts w:asciiTheme="majorBidi" w:hAnsiTheme="majorBidi" w:cstheme="majorBidi"/>
          <w:sz w:val="24"/>
          <w:szCs w:val="24"/>
        </w:rPr>
      </w:pPr>
      <w:r w:rsidRPr="00034EE9">
        <w:rPr>
          <w:rFonts w:asciiTheme="majorBidi" w:hAnsiTheme="majorBidi" w:cstheme="majorBidi"/>
          <w:sz w:val="24"/>
          <w:szCs w:val="24"/>
        </w:rPr>
        <w:t>Our primary</w:t>
      </w:r>
      <w:r w:rsidRPr="00034EE9">
        <w:rPr>
          <w:rFonts w:asciiTheme="majorBidi" w:hAnsiTheme="majorBidi" w:cstheme="majorBidi"/>
          <w:sz w:val="24"/>
          <w:szCs w:val="24"/>
          <w:lang w:val="x-none"/>
        </w:rPr>
        <w:t xml:space="preserve"> outcome</w:t>
      </w:r>
      <w:r w:rsidRPr="00034EE9">
        <w:rPr>
          <w:rFonts w:asciiTheme="majorBidi" w:hAnsiTheme="majorBidi" w:cstheme="majorBidi"/>
          <w:sz w:val="24"/>
          <w:szCs w:val="24"/>
        </w:rPr>
        <w:t xml:space="preserve"> was defined as the</w:t>
      </w:r>
      <w:r w:rsidRPr="00034EE9">
        <w:rPr>
          <w:rFonts w:asciiTheme="majorBidi" w:eastAsia="Times New Roman" w:hAnsiTheme="majorBidi" w:cstheme="majorBidi"/>
          <w:color w:val="333333"/>
          <w:sz w:val="24"/>
          <w:szCs w:val="24"/>
        </w:rPr>
        <w:t xml:space="preserve"> complete </w:t>
      </w:r>
      <w:r w:rsidRPr="00034EE9">
        <w:rPr>
          <w:rFonts w:asciiTheme="majorBidi" w:hAnsiTheme="majorBidi" w:cstheme="majorBidi"/>
          <w:color w:val="231F20"/>
          <w:sz w:val="24"/>
          <w:szCs w:val="24"/>
        </w:rPr>
        <w:t xml:space="preserve">remission of clinical symptoms and/or no residual disease on </w:t>
      </w:r>
      <w:proofErr w:type="spellStart"/>
      <w:r w:rsidRPr="00034EE9">
        <w:rPr>
          <w:rFonts w:asciiTheme="majorBidi" w:hAnsiTheme="majorBidi" w:cstheme="majorBidi"/>
          <w:color w:val="231F20"/>
          <w:sz w:val="24"/>
          <w:szCs w:val="24"/>
        </w:rPr>
        <w:t>posttreatment</w:t>
      </w:r>
      <w:proofErr w:type="spellEnd"/>
      <w:r w:rsidRPr="00034EE9">
        <w:rPr>
          <w:rFonts w:asciiTheme="majorBidi" w:hAnsiTheme="majorBidi" w:cstheme="majorBidi"/>
          <w:color w:val="231F20"/>
          <w:sz w:val="24"/>
          <w:szCs w:val="24"/>
        </w:rPr>
        <w:t xml:space="preserve"> biopsy. In this category, we also included publications that </w:t>
      </w:r>
      <w:r w:rsidRPr="00034EE9">
        <w:rPr>
          <w:rFonts w:asciiTheme="majorBidi" w:hAnsiTheme="majorBidi" w:cstheme="majorBidi"/>
          <w:color w:val="231F20"/>
          <w:sz w:val="24"/>
          <w:szCs w:val="24"/>
        </w:rPr>
        <w:lastRenderedPageBreak/>
        <w:t>used the terms “complete response” (“CR”)</w:t>
      </w:r>
      <w:r w:rsidR="00E87022">
        <w:rPr>
          <w:rFonts w:asciiTheme="majorBidi" w:hAnsiTheme="majorBidi" w:cstheme="majorBidi"/>
          <w:color w:val="231F20"/>
          <w:sz w:val="24"/>
          <w:szCs w:val="24"/>
        </w:rPr>
        <w:t xml:space="preserve"> or</w:t>
      </w:r>
      <w:r w:rsidRPr="00034EE9">
        <w:rPr>
          <w:rFonts w:asciiTheme="majorBidi" w:hAnsiTheme="majorBidi" w:cstheme="majorBidi"/>
          <w:color w:val="231F20"/>
          <w:sz w:val="24"/>
          <w:szCs w:val="24"/>
        </w:rPr>
        <w:t xml:space="preserve"> “symptom-free</w:t>
      </w:r>
      <w:r w:rsidR="00E87022">
        <w:rPr>
          <w:rFonts w:asciiTheme="majorBidi" w:hAnsiTheme="majorBidi" w:cstheme="majorBidi"/>
          <w:color w:val="231F20"/>
          <w:sz w:val="24"/>
          <w:szCs w:val="24"/>
        </w:rPr>
        <w:t>,</w:t>
      </w:r>
      <w:r w:rsidRPr="00034EE9">
        <w:rPr>
          <w:rFonts w:asciiTheme="majorBidi" w:hAnsiTheme="majorBidi" w:cstheme="majorBidi"/>
          <w:color w:val="231F20"/>
          <w:sz w:val="24"/>
          <w:szCs w:val="24"/>
        </w:rPr>
        <w:t>” etc. Our s</w:t>
      </w:r>
      <w:r w:rsidRPr="00034EE9">
        <w:rPr>
          <w:rFonts w:asciiTheme="majorBidi" w:hAnsiTheme="majorBidi" w:cstheme="majorBidi"/>
          <w:sz w:val="24"/>
          <w:szCs w:val="24"/>
        </w:rPr>
        <w:t xml:space="preserve">econdary outcome was clinical regression by 50% or more. </w:t>
      </w:r>
      <w:r w:rsidRPr="00034EE9">
        <w:rPr>
          <w:rFonts w:asciiTheme="majorBidi" w:hAnsiTheme="majorBidi" w:cstheme="majorBidi"/>
          <w:color w:val="231F20"/>
          <w:sz w:val="24"/>
          <w:szCs w:val="24"/>
        </w:rPr>
        <w:t>In this category, we also included publications that used the terms “marked improvement”</w:t>
      </w:r>
      <w:r w:rsidR="00E87022">
        <w:rPr>
          <w:rFonts w:asciiTheme="majorBidi" w:hAnsiTheme="majorBidi" w:cstheme="majorBidi"/>
          <w:color w:val="231F20"/>
          <w:sz w:val="24"/>
          <w:szCs w:val="24"/>
        </w:rPr>
        <w:t xml:space="preserve"> or</w:t>
      </w:r>
      <w:r w:rsidRPr="00034EE9">
        <w:rPr>
          <w:rFonts w:asciiTheme="majorBidi" w:hAnsiTheme="majorBidi" w:cstheme="majorBidi"/>
          <w:color w:val="231F20"/>
          <w:sz w:val="24"/>
          <w:szCs w:val="24"/>
        </w:rPr>
        <w:t xml:space="preserve"> “minimal disease</w:t>
      </w:r>
      <w:r w:rsidR="00E87022">
        <w:rPr>
          <w:rFonts w:asciiTheme="majorBidi" w:hAnsiTheme="majorBidi" w:cstheme="majorBidi"/>
          <w:color w:val="231F20"/>
          <w:sz w:val="24"/>
          <w:szCs w:val="24"/>
        </w:rPr>
        <w:t>,</w:t>
      </w:r>
      <w:r w:rsidRPr="00034EE9">
        <w:rPr>
          <w:rFonts w:asciiTheme="majorBidi" w:hAnsiTheme="majorBidi" w:cstheme="majorBidi"/>
          <w:color w:val="231F20"/>
          <w:sz w:val="24"/>
          <w:szCs w:val="24"/>
        </w:rPr>
        <w:t xml:space="preserve">” etc. Additional secondary outcomes were </w:t>
      </w:r>
      <w:r w:rsidRPr="00034EE9">
        <w:rPr>
          <w:rFonts w:asciiTheme="majorBidi" w:hAnsiTheme="majorBidi" w:cstheme="majorBidi"/>
          <w:sz w:val="24"/>
          <w:szCs w:val="24"/>
        </w:rPr>
        <w:t xml:space="preserve">recurrence following complete remission and adverse events. </w:t>
      </w:r>
    </w:p>
    <w:p w:rsidR="00653B50" w:rsidRPr="00034EE9" w:rsidRDefault="00653B50" w:rsidP="00653B50">
      <w:pPr>
        <w:shd w:val="clear" w:color="auto" w:fill="FFFFFF" w:themeFill="background1"/>
        <w:autoSpaceDE w:val="0"/>
        <w:autoSpaceDN w:val="0"/>
        <w:adjustRightInd w:val="0"/>
        <w:snapToGrid w:val="0"/>
        <w:spacing w:before="120" w:after="0" w:line="480" w:lineRule="auto"/>
        <w:rPr>
          <w:rFonts w:asciiTheme="majorBidi" w:hAnsiTheme="majorBidi" w:cstheme="majorBidi"/>
          <w:sz w:val="24"/>
          <w:szCs w:val="24"/>
        </w:rPr>
      </w:pPr>
      <w:r w:rsidRPr="00034EE9">
        <w:rPr>
          <w:rFonts w:asciiTheme="majorBidi" w:hAnsiTheme="majorBidi" w:cstheme="majorBidi"/>
          <w:b/>
          <w:bCs/>
          <w:sz w:val="24"/>
          <w:szCs w:val="24"/>
        </w:rPr>
        <w:t xml:space="preserve">Study </w:t>
      </w:r>
      <w:r w:rsidR="00E87022" w:rsidRPr="00034EE9">
        <w:rPr>
          <w:rFonts w:asciiTheme="majorBidi" w:hAnsiTheme="majorBidi" w:cstheme="majorBidi"/>
          <w:b/>
          <w:bCs/>
          <w:sz w:val="24"/>
          <w:szCs w:val="24"/>
        </w:rPr>
        <w:t>S</w:t>
      </w:r>
      <w:r w:rsidRPr="00034EE9">
        <w:rPr>
          <w:rFonts w:asciiTheme="majorBidi" w:hAnsiTheme="majorBidi" w:cstheme="majorBidi"/>
          <w:b/>
          <w:bCs/>
          <w:sz w:val="24"/>
          <w:szCs w:val="24"/>
        </w:rPr>
        <w:t xml:space="preserve">election and </w:t>
      </w:r>
      <w:r w:rsidR="00E87022" w:rsidRPr="00034EE9">
        <w:rPr>
          <w:rFonts w:asciiTheme="majorBidi" w:hAnsiTheme="majorBidi" w:cstheme="majorBidi"/>
          <w:b/>
          <w:bCs/>
          <w:sz w:val="24"/>
          <w:szCs w:val="24"/>
        </w:rPr>
        <w:t>Data Ex</w:t>
      </w:r>
      <w:r w:rsidRPr="00034EE9">
        <w:rPr>
          <w:rFonts w:asciiTheme="majorBidi" w:hAnsiTheme="majorBidi" w:cstheme="majorBidi"/>
          <w:b/>
          <w:bCs/>
          <w:sz w:val="24"/>
          <w:szCs w:val="24"/>
        </w:rPr>
        <w:t>traction</w:t>
      </w:r>
    </w:p>
    <w:p w:rsidR="00653B50" w:rsidRPr="00034EE9" w:rsidRDefault="00653B50" w:rsidP="00653B50">
      <w:pPr>
        <w:shd w:val="clear" w:color="auto" w:fill="FFFFFF" w:themeFill="background1"/>
        <w:autoSpaceDE w:val="0"/>
        <w:autoSpaceDN w:val="0"/>
        <w:adjustRightInd w:val="0"/>
        <w:snapToGrid w:val="0"/>
        <w:spacing w:before="120" w:after="0" w:line="480" w:lineRule="auto"/>
        <w:rPr>
          <w:rFonts w:asciiTheme="majorBidi" w:hAnsiTheme="majorBidi" w:cstheme="majorBidi"/>
          <w:color w:val="231F20"/>
          <w:sz w:val="24"/>
          <w:szCs w:val="24"/>
        </w:rPr>
      </w:pPr>
      <w:r w:rsidRPr="00034EE9">
        <w:rPr>
          <w:rFonts w:asciiTheme="majorBidi" w:hAnsiTheme="majorBidi" w:cstheme="majorBidi"/>
          <w:sz w:val="24"/>
          <w:szCs w:val="24"/>
          <w:lang w:val="x-none"/>
        </w:rPr>
        <w:t>T</w:t>
      </w:r>
      <w:r w:rsidRPr="00034EE9">
        <w:rPr>
          <w:rFonts w:asciiTheme="majorBidi" w:hAnsiTheme="majorBidi" w:cstheme="majorBidi"/>
          <w:sz w:val="24"/>
          <w:szCs w:val="24"/>
        </w:rPr>
        <w:t>hree</w:t>
      </w:r>
      <w:r w:rsidRPr="00034EE9">
        <w:rPr>
          <w:rFonts w:asciiTheme="majorBidi" w:hAnsiTheme="majorBidi" w:cstheme="majorBidi"/>
          <w:sz w:val="24"/>
          <w:szCs w:val="24"/>
          <w:lang w:val="x-none"/>
        </w:rPr>
        <w:t xml:space="preserve"> reviewers (I.S.</w:t>
      </w:r>
      <w:r w:rsidRPr="00034EE9">
        <w:rPr>
          <w:rFonts w:asciiTheme="majorBidi" w:hAnsiTheme="majorBidi" w:cstheme="majorBidi"/>
          <w:sz w:val="24"/>
          <w:szCs w:val="24"/>
        </w:rPr>
        <w:t>, R.K., and Y</w:t>
      </w:r>
      <w:r w:rsidRPr="00034EE9">
        <w:rPr>
          <w:rFonts w:asciiTheme="majorBidi" w:hAnsiTheme="majorBidi" w:cstheme="majorBidi"/>
          <w:sz w:val="24"/>
          <w:szCs w:val="24"/>
          <w:lang w:val="x-none"/>
        </w:rPr>
        <w:t>.</w:t>
      </w:r>
      <w:r w:rsidRPr="00034EE9">
        <w:rPr>
          <w:rFonts w:asciiTheme="majorBidi" w:hAnsiTheme="majorBidi" w:cstheme="majorBidi"/>
          <w:sz w:val="24"/>
          <w:szCs w:val="24"/>
        </w:rPr>
        <w:t>N</w:t>
      </w:r>
      <w:r w:rsidRPr="00034EE9">
        <w:rPr>
          <w:rFonts w:asciiTheme="majorBidi" w:hAnsiTheme="majorBidi" w:cstheme="majorBidi"/>
          <w:sz w:val="24"/>
          <w:szCs w:val="24"/>
          <w:lang w:val="x-none"/>
        </w:rPr>
        <w:t>.) independently screened titles and abstracts</w:t>
      </w:r>
      <w:r w:rsidRPr="00034EE9">
        <w:rPr>
          <w:rFonts w:asciiTheme="majorBidi" w:hAnsiTheme="majorBidi" w:cstheme="majorBidi"/>
          <w:sz w:val="24"/>
          <w:szCs w:val="24"/>
        </w:rPr>
        <w:t>,</w:t>
      </w:r>
      <w:r w:rsidRPr="00034EE9">
        <w:rPr>
          <w:rFonts w:asciiTheme="majorBidi" w:hAnsiTheme="majorBidi" w:cstheme="majorBidi"/>
          <w:sz w:val="24"/>
          <w:szCs w:val="24"/>
          <w:lang w:val="x-none"/>
        </w:rPr>
        <w:t xml:space="preserve"> followed by the full text of </w:t>
      </w:r>
      <w:r w:rsidRPr="00034EE9">
        <w:rPr>
          <w:rFonts w:asciiTheme="majorBidi" w:hAnsiTheme="majorBidi" w:cstheme="majorBidi"/>
          <w:sz w:val="24"/>
          <w:szCs w:val="24"/>
        </w:rPr>
        <w:t>studies</w:t>
      </w:r>
      <w:r w:rsidRPr="00034EE9">
        <w:rPr>
          <w:rFonts w:asciiTheme="majorBidi" w:hAnsiTheme="majorBidi" w:cstheme="majorBidi"/>
          <w:sz w:val="24"/>
          <w:szCs w:val="24"/>
          <w:lang w:val="x-none"/>
        </w:rPr>
        <w:t xml:space="preserve"> considered potentially eligible. </w:t>
      </w:r>
      <w:r w:rsidRPr="00034EE9">
        <w:rPr>
          <w:rFonts w:asciiTheme="majorBidi" w:hAnsiTheme="majorBidi" w:cstheme="majorBidi"/>
          <w:sz w:val="24"/>
          <w:szCs w:val="24"/>
        </w:rPr>
        <w:t xml:space="preserve">The first author (I.S.) extracted data onto an electronic form, and the other two authors (R.K. and Y.N) checked the extracted data, including </w:t>
      </w:r>
      <w:r w:rsidRPr="00034EE9">
        <w:rPr>
          <w:rFonts w:asciiTheme="majorBidi" w:eastAsia="ArialMT" w:hAnsiTheme="majorBidi" w:cstheme="majorBidi"/>
          <w:sz w:val="24"/>
          <w:szCs w:val="24"/>
        </w:rPr>
        <w:t>first author name, year of publication, number of participants, age, sex, initial v</w:t>
      </w:r>
      <w:r w:rsidR="00E87022">
        <w:rPr>
          <w:rFonts w:asciiTheme="majorBidi" w:eastAsia="ArialMT" w:hAnsiTheme="majorBidi" w:cstheme="majorBidi"/>
          <w:sz w:val="24"/>
          <w:szCs w:val="24"/>
        </w:rPr>
        <w:t>ersu</w:t>
      </w:r>
      <w:r w:rsidRPr="00034EE9">
        <w:rPr>
          <w:rFonts w:asciiTheme="majorBidi" w:eastAsia="ArialMT" w:hAnsiTheme="majorBidi" w:cstheme="majorBidi"/>
          <w:sz w:val="24"/>
          <w:szCs w:val="24"/>
        </w:rPr>
        <w:t>s recurrent treatment, tumor site, primary and secondary outcomes, and length of follow-up</w:t>
      </w:r>
      <w:r w:rsidRPr="00034EE9">
        <w:rPr>
          <w:rFonts w:asciiTheme="majorBidi" w:hAnsiTheme="majorBidi" w:cstheme="majorBidi"/>
          <w:sz w:val="24"/>
          <w:szCs w:val="24"/>
        </w:rPr>
        <w:t xml:space="preserve">. Tumor site was categorized as genitalia when the penis, scrotum, or vulva was involved and as pubis/groin when the pubis, groin, or inguinal area was involved. Additional categories were perineum/perianal area, axilla, and face.  </w:t>
      </w:r>
    </w:p>
    <w:p w:rsidR="00653B50" w:rsidRPr="00034EE9" w:rsidRDefault="00653B50" w:rsidP="00653B50">
      <w:pPr>
        <w:shd w:val="clear" w:color="auto" w:fill="FFFFFF" w:themeFill="background1"/>
        <w:autoSpaceDE w:val="0"/>
        <w:autoSpaceDN w:val="0"/>
        <w:adjustRightInd w:val="0"/>
        <w:snapToGrid w:val="0"/>
        <w:spacing w:before="120" w:after="0" w:line="480" w:lineRule="auto"/>
        <w:rPr>
          <w:rFonts w:asciiTheme="majorBidi" w:eastAsia="ArialMT" w:hAnsiTheme="majorBidi" w:cstheme="majorBidi"/>
          <w:sz w:val="24"/>
          <w:szCs w:val="24"/>
        </w:rPr>
      </w:pPr>
      <w:r w:rsidRPr="00034EE9">
        <w:rPr>
          <w:rFonts w:asciiTheme="majorBidi" w:hAnsiTheme="majorBidi" w:cstheme="majorBidi"/>
          <w:sz w:val="24"/>
          <w:szCs w:val="24"/>
        </w:rPr>
        <w:t>Risk of bias across cohort studies was assessed with</w:t>
      </w:r>
      <w:r w:rsidRPr="00034EE9">
        <w:rPr>
          <w:rFonts w:asciiTheme="majorBidi" w:eastAsia="ArialMT" w:hAnsiTheme="majorBidi" w:cstheme="majorBidi"/>
          <w:sz w:val="24"/>
          <w:szCs w:val="24"/>
        </w:rPr>
        <w:t xml:space="preserve"> the Newcastle Ottawa Quality Assessment Scale (NOS) by two authors (I.S. and</w:t>
      </w:r>
      <w:r w:rsidRPr="00034EE9">
        <w:rPr>
          <w:rFonts w:asciiTheme="majorBidi" w:hAnsiTheme="majorBidi" w:cstheme="majorBidi"/>
          <w:sz w:val="24"/>
          <w:szCs w:val="24"/>
        </w:rPr>
        <w:t xml:space="preserve"> R.K.). Any disagreement was resolved by discussion. Further discrepancies were resolved by a fourth author (A.L.)</w:t>
      </w:r>
      <w:r w:rsidR="001C142A">
        <w:rPr>
          <w:rFonts w:asciiTheme="majorBidi" w:hAnsiTheme="majorBidi" w:cstheme="majorBidi"/>
          <w:sz w:val="24"/>
          <w:szCs w:val="24"/>
        </w:rPr>
        <w:t xml:space="preserve"> </w:t>
      </w:r>
      <w:r w:rsidRPr="00034EE9">
        <w:rPr>
          <w:rFonts w:asciiTheme="majorBidi" w:eastAsia="ArialMT" w:hAnsiTheme="majorBidi" w:cstheme="majorBidi"/>
          <w:sz w:val="24"/>
          <w:szCs w:val="24"/>
        </w:rPr>
        <w:fldChar w:fldCharType="begin"/>
      </w:r>
      <w:r w:rsidRPr="00034EE9">
        <w:rPr>
          <w:rFonts w:asciiTheme="majorBidi" w:eastAsia="ArialMT" w:hAnsiTheme="majorBidi" w:cstheme="majorBidi"/>
          <w:sz w:val="24"/>
          <w:szCs w:val="24"/>
        </w:rPr>
        <w:instrText xml:space="preserve"> ADDIN ZOTERO_ITEM CSL_CITATION {"citationID":"yfQ7nGVT","properties":{"formattedCitation":"[15]","plainCitation":"[15]","noteIndex":0},"citationItems":[{"id":291,"uris":["http://zotero.org/users/3755985/items/RCB4MUPU"],"uri":["http://zotero.org/users/3755985/items/RCB4MUPU"],"itemData":{"id":291,"type":"webpage","title":"Ottawa Hospital Research Institute","URL":"http://www.ohri.ca/programs/clinical_epidemiology/oxford.asp","accessed":{"date-parts":[["2017",2,12]]}}}],"schema":"https://github.com/citation-style-language/schema/raw/master/csl-citation.json"} </w:instrText>
      </w:r>
      <w:r w:rsidRPr="00034EE9">
        <w:rPr>
          <w:rFonts w:asciiTheme="majorBidi" w:eastAsia="ArialMT" w:hAnsiTheme="majorBidi" w:cstheme="majorBidi"/>
          <w:sz w:val="24"/>
          <w:szCs w:val="24"/>
        </w:rPr>
        <w:fldChar w:fldCharType="separate"/>
      </w:r>
      <w:r w:rsidRPr="00034EE9">
        <w:rPr>
          <w:rFonts w:ascii="Times New Roman" w:hAnsi="Times New Roman" w:cs="Times New Roman"/>
          <w:sz w:val="24"/>
        </w:rPr>
        <w:t>[15]</w:t>
      </w:r>
      <w:r w:rsidRPr="00034EE9">
        <w:rPr>
          <w:rFonts w:asciiTheme="majorBidi" w:eastAsia="ArialMT" w:hAnsiTheme="majorBidi" w:cstheme="majorBidi"/>
          <w:sz w:val="24"/>
          <w:szCs w:val="24"/>
        </w:rPr>
        <w:fldChar w:fldCharType="end"/>
      </w:r>
      <w:r w:rsidR="001C142A">
        <w:rPr>
          <w:rFonts w:asciiTheme="majorBidi" w:eastAsia="ArialMT" w:hAnsiTheme="majorBidi" w:cstheme="majorBidi"/>
          <w:sz w:val="24"/>
          <w:szCs w:val="24"/>
        </w:rPr>
        <w:t>.</w:t>
      </w:r>
      <w:bookmarkStart w:id="0" w:name="_GoBack"/>
      <w:bookmarkEnd w:id="0"/>
    </w:p>
    <w:p w:rsidR="00653B50" w:rsidRPr="00034EE9" w:rsidRDefault="00653B50" w:rsidP="00653B50">
      <w:pPr>
        <w:autoSpaceDE w:val="0"/>
        <w:autoSpaceDN w:val="0"/>
        <w:adjustRightInd w:val="0"/>
        <w:spacing w:after="0" w:line="480" w:lineRule="auto"/>
        <w:rPr>
          <w:rFonts w:asciiTheme="majorBidi" w:hAnsiTheme="majorBidi" w:cstheme="majorBidi"/>
          <w:b/>
          <w:bCs/>
          <w:sz w:val="24"/>
          <w:szCs w:val="24"/>
        </w:rPr>
      </w:pPr>
      <w:r w:rsidRPr="00034EE9">
        <w:rPr>
          <w:rFonts w:asciiTheme="majorBidi" w:hAnsiTheme="majorBidi" w:cstheme="majorBidi"/>
          <w:b/>
          <w:bCs/>
          <w:sz w:val="24"/>
          <w:szCs w:val="24"/>
        </w:rPr>
        <w:t xml:space="preserve">Data analysis </w:t>
      </w:r>
    </w:p>
    <w:p w:rsidR="005535C7" w:rsidRDefault="00653B50" w:rsidP="00E87022">
      <w:pPr>
        <w:shd w:val="clear" w:color="auto" w:fill="FFFFFF" w:themeFill="background1"/>
        <w:autoSpaceDE w:val="0"/>
        <w:autoSpaceDN w:val="0"/>
        <w:adjustRightInd w:val="0"/>
        <w:snapToGrid w:val="0"/>
        <w:spacing w:before="120" w:after="0" w:line="480" w:lineRule="auto"/>
      </w:pPr>
      <w:r w:rsidRPr="00034EE9">
        <w:rPr>
          <w:rFonts w:asciiTheme="majorBidi" w:hAnsiTheme="majorBidi" w:cstheme="majorBidi"/>
          <w:sz w:val="24"/>
          <w:szCs w:val="24"/>
        </w:rPr>
        <w:t xml:space="preserve">Complete and partial response rates, and recurrence rates were pooled using statistical software (Comprehensive Meta-Analysis, </w:t>
      </w:r>
      <w:r w:rsidR="00E87022" w:rsidRPr="00034EE9">
        <w:rPr>
          <w:rFonts w:asciiTheme="majorBidi" w:hAnsiTheme="majorBidi" w:cstheme="majorBidi"/>
          <w:sz w:val="24"/>
          <w:szCs w:val="24"/>
        </w:rPr>
        <w:t>v</w:t>
      </w:r>
      <w:r w:rsidRPr="00034EE9">
        <w:rPr>
          <w:rFonts w:asciiTheme="majorBidi" w:hAnsiTheme="majorBidi" w:cstheme="majorBidi"/>
          <w:sz w:val="24"/>
          <w:szCs w:val="24"/>
        </w:rPr>
        <w:t xml:space="preserve">ersion 3.0, </w:t>
      </w:r>
      <w:hyperlink r:id="rId5" w:history="1">
        <w:r w:rsidRPr="00034EE9">
          <w:rPr>
            <w:rStyle w:val="Hyperlink"/>
            <w:rFonts w:asciiTheme="majorBidi" w:hAnsiTheme="majorBidi" w:cstheme="majorBidi"/>
            <w:sz w:val="24"/>
            <w:szCs w:val="24"/>
          </w:rPr>
          <w:t>Meta-Analysis@Meta-Analysis.com</w:t>
        </w:r>
      </w:hyperlink>
      <w:r w:rsidRPr="00034EE9">
        <w:rPr>
          <w:rFonts w:asciiTheme="majorBidi" w:hAnsiTheme="majorBidi" w:cstheme="majorBidi"/>
          <w:sz w:val="24"/>
          <w:szCs w:val="24"/>
        </w:rPr>
        <w:t xml:space="preserve">). Analyses were </w:t>
      </w:r>
      <w:r w:rsidR="00E87022">
        <w:rPr>
          <w:rFonts w:asciiTheme="majorBidi" w:hAnsiTheme="majorBidi" w:cstheme="majorBidi"/>
          <w:sz w:val="24"/>
          <w:szCs w:val="24"/>
        </w:rPr>
        <w:t>performed using a random-effect</w:t>
      </w:r>
      <w:r w:rsidRPr="00034EE9">
        <w:rPr>
          <w:rFonts w:asciiTheme="majorBidi" w:hAnsiTheme="majorBidi" w:cstheme="majorBidi"/>
          <w:sz w:val="24"/>
          <w:szCs w:val="24"/>
        </w:rPr>
        <w:t xml:space="preserve"> model</w:t>
      </w:r>
      <w:r w:rsidRPr="00034EE9">
        <w:rPr>
          <w:rFonts w:asciiTheme="majorBidi" w:hAnsiTheme="majorBidi" w:cstheme="majorBidi"/>
          <w:color w:val="000000" w:themeColor="text1"/>
          <w:sz w:val="24"/>
          <w:szCs w:val="24"/>
        </w:rPr>
        <w:t xml:space="preserve"> </w:t>
      </w:r>
      <w:r w:rsidRPr="00034EE9">
        <w:rPr>
          <w:rFonts w:asciiTheme="majorBidi" w:hAnsiTheme="majorBidi" w:cstheme="majorBidi"/>
          <w:sz w:val="24"/>
          <w:szCs w:val="24"/>
        </w:rPr>
        <w:t xml:space="preserve">of </w:t>
      </w:r>
      <w:proofErr w:type="spellStart"/>
      <w:r w:rsidRPr="00034EE9">
        <w:rPr>
          <w:rFonts w:asciiTheme="majorBidi" w:hAnsiTheme="majorBidi" w:cstheme="majorBidi"/>
          <w:sz w:val="24"/>
          <w:szCs w:val="24"/>
        </w:rPr>
        <w:t>DerSimonian</w:t>
      </w:r>
      <w:proofErr w:type="spellEnd"/>
      <w:r w:rsidRPr="00034EE9">
        <w:rPr>
          <w:rFonts w:asciiTheme="majorBidi" w:hAnsiTheme="majorBidi" w:cstheme="majorBidi"/>
          <w:sz w:val="24"/>
          <w:szCs w:val="24"/>
        </w:rPr>
        <w:t xml:space="preserve"> and Lard</w:t>
      </w:r>
      <w:r w:rsidRPr="00034EE9">
        <w:rPr>
          <w:rFonts w:asciiTheme="majorBidi" w:hAnsiTheme="majorBidi" w:cstheme="majorBidi"/>
          <w:color w:val="000000" w:themeColor="text1"/>
          <w:sz w:val="24"/>
          <w:szCs w:val="24"/>
        </w:rPr>
        <w:t>, because we had expected considerable clinical heterogeneity</w:t>
      </w:r>
      <w:r w:rsidRPr="00034EE9">
        <w:rPr>
          <w:rFonts w:asciiTheme="majorBidi" w:hAnsiTheme="majorBidi" w:cstheme="majorBidi"/>
          <w:sz w:val="24"/>
          <w:szCs w:val="24"/>
        </w:rPr>
        <w:t>. Heterogeneity was assessed by visually ex</w:t>
      </w:r>
      <w:r w:rsidR="00E87022">
        <w:rPr>
          <w:rFonts w:asciiTheme="majorBidi" w:hAnsiTheme="majorBidi" w:cstheme="majorBidi"/>
          <w:sz w:val="24"/>
          <w:szCs w:val="24"/>
        </w:rPr>
        <w:t xml:space="preserve">amining the forest plot for </w:t>
      </w:r>
      <w:proofErr w:type="spellStart"/>
      <w:r w:rsidR="00E87022">
        <w:rPr>
          <w:rFonts w:asciiTheme="majorBidi" w:hAnsiTheme="majorBidi" w:cstheme="majorBidi"/>
          <w:sz w:val="24"/>
          <w:szCs w:val="24"/>
        </w:rPr>
        <w:t>non</w:t>
      </w:r>
      <w:r w:rsidRPr="00034EE9">
        <w:rPr>
          <w:rFonts w:asciiTheme="majorBidi" w:hAnsiTheme="majorBidi" w:cstheme="majorBidi"/>
          <w:sz w:val="24"/>
          <w:szCs w:val="24"/>
        </w:rPr>
        <w:t>overlapping</w:t>
      </w:r>
      <w:proofErr w:type="spellEnd"/>
      <w:r w:rsidRPr="00034EE9">
        <w:rPr>
          <w:rFonts w:asciiTheme="majorBidi" w:hAnsiTheme="majorBidi" w:cstheme="majorBidi"/>
          <w:sz w:val="24"/>
          <w:szCs w:val="24"/>
        </w:rPr>
        <w:t xml:space="preserve"> CIs and via the </w:t>
      </w:r>
      <w:r w:rsidR="00E87022" w:rsidRPr="00E87022">
        <w:rPr>
          <w:rFonts w:asciiTheme="majorBidi" w:hAnsiTheme="majorBidi" w:cstheme="majorBidi"/>
          <w:sz w:val="24"/>
          <w:szCs w:val="24"/>
        </w:rPr>
        <w:t>χ</w:t>
      </w:r>
      <w:r w:rsidR="00E87022">
        <w:rPr>
          <w:rFonts w:asciiTheme="majorBidi" w:hAnsiTheme="majorBidi" w:cstheme="majorBidi"/>
          <w:sz w:val="24"/>
          <w:szCs w:val="24"/>
          <w:vertAlign w:val="superscript"/>
        </w:rPr>
        <w:t>2</w:t>
      </w:r>
      <w:r w:rsidRPr="00034EE9">
        <w:rPr>
          <w:rFonts w:asciiTheme="majorBidi" w:hAnsiTheme="majorBidi" w:cstheme="majorBidi"/>
          <w:sz w:val="24"/>
          <w:szCs w:val="24"/>
        </w:rPr>
        <w:t xml:space="preserve"> test, with p &lt;</w:t>
      </w:r>
      <w:r w:rsidR="00E87022">
        <w:rPr>
          <w:rFonts w:asciiTheme="majorBidi" w:hAnsiTheme="majorBidi" w:cstheme="majorBidi"/>
          <w:sz w:val="24"/>
          <w:szCs w:val="24"/>
        </w:rPr>
        <w:t xml:space="preserve"> </w:t>
      </w:r>
      <w:r w:rsidRPr="00034EE9">
        <w:rPr>
          <w:rFonts w:asciiTheme="majorBidi" w:hAnsiTheme="majorBidi" w:cstheme="majorBidi"/>
          <w:sz w:val="24"/>
          <w:szCs w:val="24"/>
        </w:rPr>
        <w:t xml:space="preserve">0.1 indicating statistical significance and </w:t>
      </w:r>
      <w:r w:rsidRPr="00E87022">
        <w:rPr>
          <w:rFonts w:asciiTheme="majorBidi" w:hAnsiTheme="majorBidi" w:cstheme="majorBidi"/>
          <w:i/>
          <w:sz w:val="24"/>
          <w:szCs w:val="24"/>
        </w:rPr>
        <w:t>I</w:t>
      </w:r>
      <w:r w:rsidRPr="00034EE9">
        <w:rPr>
          <w:rFonts w:asciiTheme="majorBidi" w:hAnsiTheme="majorBidi" w:cstheme="majorBidi"/>
          <w:sz w:val="24"/>
          <w:szCs w:val="24"/>
          <w:vertAlign w:val="superscript"/>
        </w:rPr>
        <w:t>2</w:t>
      </w:r>
      <w:r w:rsidRPr="00034EE9">
        <w:rPr>
          <w:rFonts w:asciiTheme="majorBidi" w:hAnsiTheme="majorBidi" w:cstheme="majorBidi"/>
          <w:sz w:val="24"/>
          <w:szCs w:val="24"/>
        </w:rPr>
        <w:t xml:space="preserve"> &gt;50% indicating substantial heterogeneity.  </w:t>
      </w:r>
    </w:p>
    <w:sectPr w:rsidR="005535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50"/>
    <w:rsid w:val="001C142A"/>
    <w:rsid w:val="005535C7"/>
    <w:rsid w:val="00653B50"/>
    <w:rsid w:val="00E870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6002"/>
  <w15:chartTrackingRefBased/>
  <w15:docId w15:val="{235A8657-CF3B-43CF-A185-16703058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B50"/>
    <w:rPr>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B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Downloads\Meta-Analysis@Meta-Analysis.com" TargetMode="External"/><Relationship Id="rId4" Type="http://schemas.openxmlformats.org/officeDocument/2006/relationships/hyperlink" Target="http://www.clinicaltrials.gov"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3240</Words>
  <Characters>18474</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Petra Witzig</cp:lastModifiedBy>
  <cp:revision>3</cp:revision>
  <dcterms:created xsi:type="dcterms:W3CDTF">2020-02-28T15:03:00Z</dcterms:created>
  <dcterms:modified xsi:type="dcterms:W3CDTF">2020-03-29T16:31:00Z</dcterms:modified>
</cp:coreProperties>
</file>