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A" w:rsidRDefault="00137CCA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7CC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MATERIAL</w:t>
      </w: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5D01" w:rsidRPr="00705D01" w:rsidRDefault="00705D01" w:rsidP="00705D01">
      <w:pPr>
        <w:suppressLineNumbers/>
        <w:spacing w:after="0" w:line="480" w:lineRule="auto"/>
        <w:jc w:val="center"/>
        <w:rPr>
          <w:lang w:val="en-US"/>
        </w:rPr>
      </w:pPr>
      <w:r w:rsidRPr="00705D01">
        <w:rPr>
          <w:lang w:val="en-US"/>
        </w:rPr>
        <w:t>Blood pressure and anticoagulation reversal management during off-hours in oral anticoagulation-associated intracerebral hemorrhage</w:t>
      </w:r>
    </w:p>
    <w:p w:rsidR="00705D01" w:rsidRPr="00705D01" w:rsidRDefault="00705D01" w:rsidP="00705D01">
      <w:pPr>
        <w:suppressLineNumbers/>
        <w:spacing w:after="0" w:line="480" w:lineRule="auto"/>
        <w:jc w:val="center"/>
        <w:rPr>
          <w:rFonts w:cs="Times New Roman"/>
          <w:b/>
          <w:szCs w:val="24"/>
          <w:lang w:val="en-US"/>
        </w:rPr>
      </w:pPr>
    </w:p>
    <w:p w:rsidR="00705D01" w:rsidRPr="001C64C6" w:rsidRDefault="00705D01" w:rsidP="00705D01">
      <w:pPr>
        <w:suppressLineNumbers/>
        <w:spacing w:after="0" w:line="480" w:lineRule="auto"/>
        <w:jc w:val="center"/>
        <w:rPr>
          <w:rFonts w:cs="Times New Roman"/>
          <w:vertAlign w:val="superscript"/>
        </w:rPr>
      </w:pPr>
      <w:r w:rsidRPr="001C64C6">
        <w:rPr>
          <w:rFonts w:cs="Times New Roman"/>
          <w:szCs w:val="24"/>
        </w:rPr>
        <w:t>Anne Mrochen</w:t>
      </w:r>
      <w:r w:rsidRPr="001C64C6">
        <w:rPr>
          <w:rFonts w:cs="Times New Roman"/>
          <w:szCs w:val="24"/>
          <w:vertAlign w:val="superscript"/>
        </w:rPr>
        <w:t>1</w:t>
      </w:r>
      <w:r w:rsidRPr="001C64C6">
        <w:rPr>
          <w:rFonts w:cs="Times New Roman"/>
          <w:szCs w:val="24"/>
        </w:rPr>
        <w:t>, MD; Maximilian I. Sprügel</w:t>
      </w:r>
      <w:r w:rsidRPr="001C64C6">
        <w:rPr>
          <w:rFonts w:cs="Times New Roman"/>
          <w:szCs w:val="24"/>
          <w:vertAlign w:val="superscript"/>
        </w:rPr>
        <w:t>1</w:t>
      </w:r>
      <w:r w:rsidRPr="001C64C6">
        <w:rPr>
          <w:rFonts w:cs="Times New Roman"/>
          <w:szCs w:val="24"/>
        </w:rPr>
        <w:t>, MD; Stefan T. Gerner</w:t>
      </w:r>
      <w:r w:rsidRPr="001C64C6">
        <w:rPr>
          <w:rFonts w:cs="Times New Roman"/>
          <w:szCs w:val="24"/>
          <w:vertAlign w:val="superscript"/>
        </w:rPr>
        <w:t>1</w:t>
      </w:r>
      <w:r w:rsidRPr="001C64C6">
        <w:rPr>
          <w:rFonts w:cs="Times New Roman"/>
          <w:szCs w:val="24"/>
        </w:rPr>
        <w:t xml:space="preserve">,  MD; </w:t>
      </w:r>
      <w:r>
        <w:rPr>
          <w:rFonts w:cs="Times New Roman"/>
          <w:szCs w:val="24"/>
        </w:rPr>
        <w:t>Jochen A. Sembill, MD;</w:t>
      </w:r>
      <w:r w:rsidRPr="001C64C6">
        <w:rPr>
          <w:rFonts w:cs="Times New Roman"/>
          <w:szCs w:val="24"/>
        </w:rPr>
        <w:t xml:space="preserve">  Stefan Lang</w:t>
      </w:r>
      <w:r w:rsidRPr="001C64C6">
        <w:rPr>
          <w:rFonts w:cs="Times New Roman"/>
          <w:vertAlign w:val="superscript"/>
        </w:rPr>
        <w:t>2</w:t>
      </w:r>
      <w:r w:rsidRPr="001C64C6">
        <w:rPr>
          <w:rFonts w:cs="Times New Roman"/>
          <w:szCs w:val="24"/>
        </w:rPr>
        <w:t xml:space="preserve">, MD; </w:t>
      </w:r>
      <w:r w:rsidRPr="001C64C6">
        <w:rPr>
          <w:rFonts w:cs="Times New Roman"/>
        </w:rPr>
        <w:t>Hannes Lücking</w:t>
      </w:r>
      <w:r w:rsidRPr="001C64C6">
        <w:rPr>
          <w:rFonts w:cs="Times New Roman"/>
          <w:vertAlign w:val="superscript"/>
        </w:rPr>
        <w:t>2</w:t>
      </w:r>
      <w:r w:rsidRPr="001C64C6">
        <w:rPr>
          <w:rFonts w:cs="Times New Roman"/>
          <w:szCs w:val="24"/>
        </w:rPr>
        <w:t>, MD; Joji B. Kuramatsu</w:t>
      </w:r>
      <w:r w:rsidRPr="001C64C6">
        <w:rPr>
          <w:rFonts w:cs="Times New Roman"/>
          <w:szCs w:val="24"/>
          <w:vertAlign w:val="superscript"/>
        </w:rPr>
        <w:t>1</w:t>
      </w:r>
      <w:r w:rsidRPr="001C64C6">
        <w:rPr>
          <w:rFonts w:cs="Times New Roman"/>
          <w:szCs w:val="24"/>
        </w:rPr>
        <w:t xml:space="preserve">, MD </w:t>
      </w:r>
      <w:r>
        <w:rPr>
          <w:rFonts w:cs="Times New Roman"/>
          <w:szCs w:val="24"/>
        </w:rPr>
        <w:t xml:space="preserve">&amp; </w:t>
      </w:r>
      <w:r w:rsidRPr="001C64C6">
        <w:rPr>
          <w:rFonts w:cs="Times New Roman"/>
          <w:szCs w:val="24"/>
        </w:rPr>
        <w:t>Hagen B. Huttner</w:t>
      </w:r>
      <w:r w:rsidRPr="001C64C6">
        <w:rPr>
          <w:rFonts w:cs="Times New Roman"/>
          <w:szCs w:val="24"/>
          <w:vertAlign w:val="superscript"/>
        </w:rPr>
        <w:t>1</w:t>
      </w:r>
      <w:r w:rsidRPr="001C64C6">
        <w:rPr>
          <w:rFonts w:cs="Times New Roman"/>
          <w:szCs w:val="24"/>
        </w:rPr>
        <w:t xml:space="preserve">*, MD, </w:t>
      </w:r>
      <w:proofErr w:type="spellStart"/>
      <w:r w:rsidRPr="001C64C6">
        <w:rPr>
          <w:rFonts w:cs="Times New Roman"/>
          <w:szCs w:val="24"/>
        </w:rPr>
        <w:t>PhD</w:t>
      </w:r>
      <w:proofErr w:type="spellEnd"/>
    </w:p>
    <w:p w:rsidR="00705D01" w:rsidRPr="00CD5385" w:rsidRDefault="00705D01" w:rsidP="00705D01">
      <w:pPr>
        <w:suppressLineNumbers/>
        <w:spacing w:after="0" w:line="480" w:lineRule="auto"/>
        <w:jc w:val="center"/>
        <w:rPr>
          <w:rFonts w:cs="Times New Roman"/>
          <w:szCs w:val="24"/>
          <w:vertAlign w:val="superscript"/>
        </w:rPr>
      </w:pPr>
    </w:p>
    <w:p w:rsidR="00705D01" w:rsidRPr="00061CE5" w:rsidRDefault="00705D01" w:rsidP="00705D01">
      <w:pPr>
        <w:widowControl w:val="0"/>
        <w:suppressLineNumbers/>
        <w:spacing w:after="0" w:line="480" w:lineRule="auto"/>
        <w:jc w:val="both"/>
        <w:rPr>
          <w:rFonts w:cs="Times New Roman"/>
          <w:sz w:val="18"/>
          <w:szCs w:val="18"/>
          <w:lang w:val="sv-SE"/>
        </w:rPr>
      </w:pPr>
      <w:r w:rsidRPr="00061CE5">
        <w:rPr>
          <w:rFonts w:cs="Times New Roman"/>
          <w:sz w:val="18"/>
          <w:szCs w:val="18"/>
          <w:vertAlign w:val="superscript"/>
          <w:lang w:val="sv-SE"/>
        </w:rPr>
        <w:t>1</w:t>
      </w:r>
      <w:r w:rsidRPr="00061CE5">
        <w:rPr>
          <w:rFonts w:cs="Times New Roman"/>
          <w:sz w:val="18"/>
          <w:szCs w:val="18"/>
          <w:lang w:val="sv-SE"/>
        </w:rPr>
        <w:t xml:space="preserve"> Department of Neurology, University of Erlangen-Nuremberg, Schwabachanl</w:t>
      </w:r>
      <w:r>
        <w:rPr>
          <w:rFonts w:cs="Times New Roman"/>
          <w:sz w:val="18"/>
          <w:szCs w:val="18"/>
          <w:lang w:val="sv-SE"/>
        </w:rPr>
        <w:t>age 6, 91054 Erlangen, Germany</w:t>
      </w:r>
    </w:p>
    <w:p w:rsidR="00705D01" w:rsidRPr="00061CE5" w:rsidRDefault="00705D01" w:rsidP="00705D01">
      <w:pPr>
        <w:widowControl w:val="0"/>
        <w:suppressLineNumbers/>
        <w:spacing w:after="0" w:line="480" w:lineRule="auto"/>
        <w:jc w:val="both"/>
        <w:rPr>
          <w:rFonts w:cs="Times New Roman"/>
          <w:sz w:val="18"/>
          <w:szCs w:val="18"/>
          <w:lang w:val="sv-SE"/>
        </w:rPr>
      </w:pPr>
      <w:r w:rsidRPr="00061CE5">
        <w:rPr>
          <w:rFonts w:cs="Times New Roman"/>
          <w:sz w:val="18"/>
          <w:szCs w:val="18"/>
          <w:vertAlign w:val="superscript"/>
          <w:lang w:val="sv-SE"/>
        </w:rPr>
        <w:t>2</w:t>
      </w:r>
      <w:r w:rsidRPr="00061CE5">
        <w:rPr>
          <w:rFonts w:cs="Times New Roman"/>
          <w:sz w:val="18"/>
          <w:szCs w:val="18"/>
          <w:lang w:val="sv-SE"/>
        </w:rPr>
        <w:t xml:space="preserve"> Department of Neuroradiology, University of Erlangen-Nuremberg, Schwabachan</w:t>
      </w:r>
      <w:r>
        <w:rPr>
          <w:rFonts w:cs="Times New Roman"/>
          <w:sz w:val="18"/>
          <w:szCs w:val="18"/>
          <w:lang w:val="sv-SE"/>
        </w:rPr>
        <w:t>lage 6, 91054 Erlangen, Germany</w:t>
      </w:r>
    </w:p>
    <w:p w:rsidR="00705D01" w:rsidRPr="00705D01" w:rsidRDefault="00705D01" w:rsidP="00705D01">
      <w:pPr>
        <w:suppressLineNumbers/>
        <w:spacing w:after="0" w:line="480" w:lineRule="auto"/>
        <w:rPr>
          <w:b/>
          <w:lang w:val="en-US"/>
        </w:rPr>
      </w:pPr>
    </w:p>
    <w:p w:rsidR="00705D01" w:rsidRPr="00705D01" w:rsidRDefault="00705D01" w:rsidP="00705D01">
      <w:pPr>
        <w:suppressLineNumbers/>
        <w:spacing w:after="0" w:line="480" w:lineRule="auto"/>
        <w:rPr>
          <w:lang w:val="en-US"/>
        </w:rPr>
      </w:pPr>
      <w:r w:rsidRPr="00705D01">
        <w:rPr>
          <w:b/>
          <w:lang w:val="en-US"/>
        </w:rPr>
        <w:t xml:space="preserve">Correspondence: </w:t>
      </w:r>
      <w:r w:rsidRPr="00705D01">
        <w:rPr>
          <w:b/>
          <w:lang w:val="en-US"/>
        </w:rPr>
        <w:br/>
      </w:r>
      <w:r w:rsidRPr="00705D01">
        <w:rPr>
          <w:lang w:val="en-US"/>
        </w:rPr>
        <w:t xml:space="preserve">Hagen B. Huttner, Department of Neurology, University of Erlangen-Nuremberg, </w:t>
      </w:r>
    </w:p>
    <w:p w:rsidR="00705D01" w:rsidRPr="00705D01" w:rsidRDefault="00705D01" w:rsidP="00705D01">
      <w:pPr>
        <w:suppressLineNumbers/>
        <w:tabs>
          <w:tab w:val="left" w:pos="2268"/>
        </w:tabs>
        <w:spacing w:after="0" w:line="480" w:lineRule="auto"/>
      </w:pPr>
      <w:proofErr w:type="spellStart"/>
      <w:r w:rsidRPr="00705D01">
        <w:t>E-mail</w:t>
      </w:r>
      <w:proofErr w:type="spellEnd"/>
      <w:r w:rsidRPr="00705D01">
        <w:t xml:space="preserve">: </w:t>
      </w:r>
      <w:hyperlink r:id="rId6" w:history="1">
        <w:r w:rsidRPr="00705D01">
          <w:t>Hagen.Huttner@uk-erlangen.de</w:t>
        </w:r>
      </w:hyperlink>
    </w:p>
    <w:p w:rsid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Pr="00705D01" w:rsidRDefault="00705D01" w:rsidP="00705D01">
      <w:pPr>
        <w:suppressLineNumbers/>
        <w:tabs>
          <w:tab w:val="left" w:pos="2268"/>
        </w:tabs>
        <w:spacing w:after="0" w:line="480" w:lineRule="auto"/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01" w:rsidRPr="00705D01" w:rsidRDefault="00705D01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CA" w:rsidRPr="00705D01" w:rsidRDefault="00137CCA" w:rsidP="00685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11" w:rsidRDefault="00685B11" w:rsidP="00685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proofErr w:type="gramStart"/>
      <w:r w:rsidRPr="001C5F9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705D0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137C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9E7CC4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</w:t>
      </w:r>
    </w:p>
    <w:p w:rsidR="00685B11" w:rsidRDefault="00685B11" w:rsidP="00685B11">
      <w:pPr>
        <w:rPr>
          <w:lang w:val="en-GB"/>
        </w:rPr>
      </w:pPr>
    </w:p>
    <w:tbl>
      <w:tblPr>
        <w:tblStyle w:val="Tabellenraster"/>
        <w:tblpPr w:leftFromText="141" w:rightFromText="141" w:vertAnchor="page" w:horzAnchor="margin" w:tblpY="2506"/>
        <w:tblW w:w="821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541"/>
        <w:gridCol w:w="2096"/>
        <w:gridCol w:w="1732"/>
        <w:gridCol w:w="850"/>
      </w:tblGrid>
      <w:tr w:rsidR="00705D01" w:rsidRPr="00521A00" w:rsidTr="00705D01">
        <w:tc>
          <w:tcPr>
            <w:tcW w:w="3541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05D01" w:rsidRPr="002627B4" w:rsidRDefault="00705D01" w:rsidP="0070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GB"/>
              </w:rPr>
            </w:pPr>
          </w:p>
        </w:tc>
        <w:tc>
          <w:tcPr>
            <w:tcW w:w="2096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 xml:space="preserve">On-hour </w:t>
            </w:r>
          </w:p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423</w:t>
            </w: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12" w:space="0" w:color="auto"/>
            </w:tcBorders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Off-hour</w:t>
            </w:r>
          </w:p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(n=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423</w:t>
            </w: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p-</w:t>
            </w:r>
            <w:r w:rsidRPr="003A6A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value</w:t>
            </w:r>
          </w:p>
        </w:tc>
      </w:tr>
      <w:tr w:rsidR="00705D01" w:rsidRPr="00521A00" w:rsidTr="00705D01">
        <w:tc>
          <w:tcPr>
            <w:tcW w:w="354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Age, years (IQR)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76 (71-81)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76 (70-81)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0.20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Female Sex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172 (40.7)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183 (43.3)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0.44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  <w:t>Prior comorbidities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Hypertension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368 (87.0)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378 (89.4)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0.29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Diabetes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m</w:t>
            </w: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ellitus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134 (31.7)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133 (31.4)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0.94</w:t>
            </w:r>
          </w:p>
        </w:tc>
      </w:tr>
      <w:tr w:rsidR="00705D01" w:rsidRPr="00F0597B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Prior </w:t>
            </w: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stroke/TIA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132 (31.2)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123 (29.1)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0.50</w:t>
            </w:r>
          </w:p>
        </w:tc>
      </w:tr>
      <w:tr w:rsidR="00705D01" w:rsidRPr="001C5F91" w:rsidTr="00705D01">
        <w:trPr>
          <w:trHeight w:val="387"/>
        </w:trPr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Congestive heart failure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72 (17.0)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75 (17.7)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0.79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Abnormal kidney function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99 (23.5)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98 (23.3)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0.95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Abnormal liver function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8 (1.9)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 (3.1)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0.27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Premorbid </w:t>
            </w:r>
            <w:proofErr w:type="spellStart"/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mRS</w:t>
            </w:r>
            <w:proofErr w:type="spellEnd"/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 (0-1)</w:t>
            </w:r>
          </w:p>
        </w:tc>
        <w:tc>
          <w:tcPr>
            <w:tcW w:w="1732" w:type="dxa"/>
            <w:vAlign w:val="center"/>
          </w:tcPr>
          <w:p w:rsidR="00705D01" w:rsidRPr="006012D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(0-1)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0.46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38 (9.0)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52 (12.3)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0.19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  <w:t>Admission status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414E0E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Temperature, °C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36 (36-37)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36 (36-37)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0.62</w:t>
            </w:r>
          </w:p>
        </w:tc>
      </w:tr>
      <w:tr w:rsidR="00705D01" w:rsidRPr="00414E0E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GCS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14 (11-15)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 (11-15)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0.21</w:t>
            </w:r>
          </w:p>
        </w:tc>
      </w:tr>
      <w:tr w:rsidR="00705D01" w:rsidRPr="00414E0E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3A6A5A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3A6A5A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NIHSS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11 (5-19)</w:t>
            </w:r>
          </w:p>
        </w:tc>
        <w:tc>
          <w:tcPr>
            <w:tcW w:w="1732" w:type="dxa"/>
            <w:vAlign w:val="center"/>
          </w:tcPr>
          <w:p w:rsidR="00705D01" w:rsidRPr="003A6A5A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11 (5-19)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D81CB6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D81CB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0.18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Symptom onset to admission, min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35B3" w:rsidRPr="007F1BB4" w:rsidRDefault="00705D01" w:rsidP="00D863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98 (60-235)</w:t>
            </w:r>
            <w:r w:rsidR="008D35B3"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D8636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107 (60-276)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0.53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Mechanical ventilation,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153 (36.2)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155 (36.6)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0.87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Initial INR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3.0 (2.0-3.0)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3.0 (2.0-3.0)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0.95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u w:val="single"/>
                <w:lang w:val="en-US"/>
              </w:rPr>
              <w:t>Initial Imaging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ICH </w:t>
            </w:r>
            <w:proofErr w:type="spellStart"/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volume</w:t>
            </w:r>
            <w:proofErr w:type="spellEnd"/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cm</w:t>
            </w: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vertAlign w:val="superscript"/>
              </w:rPr>
              <w:t>3</w:t>
            </w: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(IQR)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12.6 (5.3-33.0)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14.3 (5.6-36.0)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0.31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Intraventricular hemorrhage,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168 (39.7)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171 (40.4)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0.83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ind w:left="51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Location, n (%)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51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Deep 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195 (46.1)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210 (49.6)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0.30</w:t>
            </w:r>
          </w:p>
        </w:tc>
      </w:tr>
      <w:tr w:rsidR="00705D01" w:rsidRPr="007F1BB4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51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Cerebellar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36 (8.5)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44 (10.4)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0.35</w:t>
            </w:r>
          </w:p>
        </w:tc>
      </w:tr>
      <w:tr w:rsidR="00705D01" w:rsidRPr="001C5F91" w:rsidTr="00705D01">
        <w:tc>
          <w:tcPr>
            <w:tcW w:w="3541" w:type="dxa"/>
            <w:tcBorders>
              <w:right w:val="single" w:sz="2" w:space="0" w:color="auto"/>
            </w:tcBorders>
            <w:vAlign w:val="center"/>
          </w:tcPr>
          <w:p w:rsidR="00705D01" w:rsidRPr="007F1BB4" w:rsidRDefault="00705D01" w:rsidP="00705D01">
            <w:pPr>
              <w:spacing w:line="276" w:lineRule="auto"/>
              <w:ind w:left="510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Brainstem</w:t>
            </w:r>
          </w:p>
        </w:tc>
        <w:tc>
          <w:tcPr>
            <w:tcW w:w="20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19 (4.5)</w:t>
            </w:r>
          </w:p>
        </w:tc>
        <w:tc>
          <w:tcPr>
            <w:tcW w:w="1732" w:type="dxa"/>
            <w:vAlign w:val="center"/>
          </w:tcPr>
          <w:p w:rsidR="00705D01" w:rsidRPr="007F1BB4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13 (3.1)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05D01" w:rsidRPr="009801F8" w:rsidRDefault="00705D01" w:rsidP="00705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7F1BB4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0.28</w:t>
            </w:r>
            <w:bookmarkStart w:id="0" w:name="_GoBack"/>
            <w:bookmarkEnd w:id="0"/>
          </w:p>
        </w:tc>
      </w:tr>
    </w:tbl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532BBB" w:rsidRDefault="00532BBB" w:rsidP="00532B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685B11" w:rsidRDefault="00685B11" w:rsidP="00685B11">
      <w:pPr>
        <w:rPr>
          <w:lang w:val="en-GB"/>
        </w:rPr>
      </w:pPr>
    </w:p>
    <w:p w:rsidR="0092603E" w:rsidRDefault="007F1B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2627B4">
      <w:pPr>
        <w:rPr>
          <w:lang w:val="en-GB"/>
        </w:rPr>
      </w:pPr>
    </w:p>
    <w:p w:rsidR="002627B4" w:rsidRDefault="00705D01">
      <w:pPr>
        <w:rPr>
          <w:lang w:val="en-GB"/>
        </w:rPr>
      </w:pPr>
      <w:r w:rsidRPr="004C0B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42E8" wp14:editId="32ADB545">
                <wp:simplePos x="0" y="0"/>
                <wp:positionH relativeFrom="column">
                  <wp:posOffset>-151765</wp:posOffset>
                </wp:positionH>
                <wp:positionV relativeFrom="paragraph">
                  <wp:posOffset>6350</wp:posOffset>
                </wp:positionV>
                <wp:extent cx="5419725" cy="1170305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00" w:rsidRDefault="00521A00" w:rsidP="0052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Table </w:t>
                            </w:r>
                            <w:r w:rsidR="00137CCA"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. </w:t>
                            </w:r>
                            <w:r w:rsidRPr="004C0B63"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Characteristics of the cohort of VKA-ICH patients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 xml:space="preserve">after propensity score matching </w:t>
                            </w:r>
                            <w:r w:rsidRPr="004C0B63"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>separated for admission during on- or off-hour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15"/>
                                <w:szCs w:val="15"/>
                                <w:lang w:val="en-US"/>
                              </w:rPr>
                              <w:t>.</w:t>
                            </w:r>
                          </w:p>
                          <w:p w:rsidR="005C4FBE" w:rsidRDefault="005C4FBE" w:rsidP="0052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C4FBE">
                              <w:rPr>
                                <w:rFonts w:ascii="ArialMT" w:hAnsi="ArialMT" w:cs="ArialMT"/>
                                <w:sz w:val="15"/>
                                <w:szCs w:val="15"/>
                                <w:lang w:val="en-US"/>
                              </w:rPr>
                              <w:t xml:space="preserve">Scales, scores and abbreviations: APT: antiplatelet therapy, Glasgow Coma Scale (range 3-15, deep coma to alert), ICH: intracerebral hemorrhage, INR: international normalized ratio, IQR: interquartile range, NIHSS: National Institutes of Health Stroke Scale (ranging from 0, no deficit, -40,  severe neurological deficit; 40 is the maximum because in comatose ataxia is not scored), premorbid </w:t>
                            </w:r>
                            <w:proofErr w:type="spellStart"/>
                            <w:r w:rsidRPr="005C4FBE">
                              <w:rPr>
                                <w:rFonts w:ascii="ArialMT" w:hAnsi="ArialMT" w:cs="ArialMT"/>
                                <w:sz w:val="15"/>
                                <w:szCs w:val="15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5C4FBE">
                              <w:rPr>
                                <w:rFonts w:ascii="ArialMT" w:hAnsi="ArialMT" w:cs="ArialMT"/>
                                <w:sz w:val="15"/>
                                <w:szCs w:val="15"/>
                                <w:lang w:val="en-US"/>
                              </w:rPr>
                              <w:t>: modified Rankin Scale prior to admission (range 0-5, no functional deficit to severe disability), TIA: transient ischemic attack, VKA: vitamin K antagonist,</w:t>
                            </w:r>
                          </w:p>
                          <w:p w:rsidR="00521A00" w:rsidRPr="004C0B63" w:rsidRDefault="00521A00" w:rsidP="00521A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521A00">
                              <w:rPr>
                                <w:rFonts w:ascii="ArialMT" w:hAnsi="ArialMT" w:cs="ArialMT"/>
                                <w:sz w:val="15"/>
                                <w:szCs w:val="15"/>
                                <w:lang w:val="en-US"/>
                              </w:rPr>
                              <w:t>Number (n) given for patients with available data, n (%), IQR; 25th -75th percentile.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95pt;margin-top:.5pt;width:426.7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" stroked="f">
                <v:textbox>
                  <w:txbxContent>
                    <w:p w:rsidR="00521A00" w:rsidRDefault="00521A00" w:rsidP="0052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 xml:space="preserve">Table </w:t>
                      </w:r>
                      <w:r w:rsidR="00137CCA"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>I</w:t>
                      </w:r>
                      <w:r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 xml:space="preserve">. </w:t>
                      </w:r>
                      <w:r w:rsidRPr="004C0B63"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 xml:space="preserve">Characteristics of the cohort of VKA-ICH patients </w:t>
                      </w:r>
                      <w:r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 xml:space="preserve">after propensity score matching </w:t>
                      </w:r>
                      <w:r w:rsidRPr="004C0B63"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>separated for admission during on- or off-hour</w:t>
                      </w:r>
                      <w:r>
                        <w:rPr>
                          <w:rFonts w:ascii="ArialMT" w:hAnsi="ArialMT" w:cs="ArialMT"/>
                          <w:b/>
                          <w:sz w:val="15"/>
                          <w:szCs w:val="15"/>
                          <w:lang w:val="en-US"/>
                        </w:rPr>
                        <w:t>.</w:t>
                      </w:r>
                    </w:p>
                    <w:p w:rsidR="005C4FBE" w:rsidRDefault="005C4FBE" w:rsidP="0052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sz w:val="15"/>
                          <w:szCs w:val="15"/>
                          <w:lang w:val="en-US"/>
                        </w:rPr>
                      </w:pPr>
                      <w:r w:rsidRPr="005C4FBE">
                        <w:rPr>
                          <w:rFonts w:ascii="ArialMT" w:hAnsi="ArialMT" w:cs="ArialMT"/>
                          <w:sz w:val="15"/>
                          <w:szCs w:val="15"/>
                          <w:lang w:val="en-US"/>
                        </w:rPr>
                        <w:t xml:space="preserve">Scales, scores and abbreviations: APT: antiplatelet therapy, Glasgow Coma Scale (range 3-15, deep coma to alert), ICH: intracerebral hemorrhage, INR: international normalized ratio, IQR: interquartile range, NIHSS: National Institutes of Health Stroke Scale (ranging from 0, no deficit, -40,  severe neurological deficit; 40 is the maximum because in comatose ataxia is not scored), premorbid </w:t>
                      </w:r>
                      <w:proofErr w:type="spellStart"/>
                      <w:r w:rsidRPr="005C4FBE">
                        <w:rPr>
                          <w:rFonts w:ascii="ArialMT" w:hAnsi="ArialMT" w:cs="ArialMT"/>
                          <w:sz w:val="15"/>
                          <w:szCs w:val="15"/>
                          <w:lang w:val="en-US"/>
                        </w:rPr>
                        <w:t>mRS</w:t>
                      </w:r>
                      <w:proofErr w:type="spellEnd"/>
                      <w:r w:rsidRPr="005C4FBE">
                        <w:rPr>
                          <w:rFonts w:ascii="ArialMT" w:hAnsi="ArialMT" w:cs="ArialMT"/>
                          <w:sz w:val="15"/>
                          <w:szCs w:val="15"/>
                          <w:lang w:val="en-US"/>
                        </w:rPr>
                        <w:t>: modified Rankin Scale prior to admission (range 0-5, no functional deficit to severe disability), TIA: transient ischemic attack, VKA: vitamin K antagonist,</w:t>
                      </w:r>
                    </w:p>
                    <w:p w:rsidR="00521A00" w:rsidRPr="004C0B63" w:rsidRDefault="00521A00" w:rsidP="00521A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 w:rsidRPr="00521A00">
                        <w:rPr>
                          <w:rFonts w:ascii="ArialMT" w:hAnsi="ArialMT" w:cs="ArialMT"/>
                          <w:sz w:val="15"/>
                          <w:szCs w:val="15"/>
                          <w:lang w:val="en-US"/>
                        </w:rPr>
                        <w:t>Number (n) given for patients with available data, n (%), IQR; 25th -75th percentile.</w:t>
                      </w:r>
                    </w:p>
                  </w:txbxContent>
                </v:textbox>
              </v:shape>
            </w:pict>
          </mc:Fallback>
        </mc:AlternateContent>
      </w:r>
    </w:p>
    <w:p w:rsidR="009164A5" w:rsidRDefault="009164A5">
      <w:pPr>
        <w:rPr>
          <w:lang w:val="en-GB"/>
        </w:rPr>
      </w:pPr>
    </w:p>
    <w:p w:rsidR="009164A5" w:rsidRDefault="009164A5">
      <w:pPr>
        <w:rPr>
          <w:lang w:val="en-GB"/>
        </w:rPr>
      </w:pPr>
    </w:p>
    <w:p w:rsidR="009164A5" w:rsidRDefault="009164A5">
      <w:pPr>
        <w:rPr>
          <w:lang w:val="en-GB"/>
        </w:rPr>
      </w:pPr>
    </w:p>
    <w:p w:rsidR="009164A5" w:rsidRDefault="009164A5">
      <w:pPr>
        <w:rPr>
          <w:lang w:val="en-GB"/>
        </w:rPr>
      </w:pPr>
    </w:p>
    <w:p w:rsidR="009164A5" w:rsidRDefault="009164A5">
      <w:pPr>
        <w:rPr>
          <w:lang w:val="en-GB"/>
        </w:rPr>
      </w:pPr>
    </w:p>
    <w:p w:rsidR="009164A5" w:rsidRDefault="009164A5">
      <w:pPr>
        <w:rPr>
          <w:lang w:val="en-GB"/>
        </w:rPr>
      </w:pPr>
    </w:p>
    <w:p w:rsidR="002627B4" w:rsidRPr="00685B11" w:rsidRDefault="002627B4">
      <w:pPr>
        <w:rPr>
          <w:lang w:val="en-GB"/>
        </w:rPr>
      </w:pPr>
    </w:p>
    <w:sectPr w:rsidR="002627B4" w:rsidRPr="00685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11"/>
    <w:rsid w:val="000174C7"/>
    <w:rsid w:val="00037E45"/>
    <w:rsid w:val="0006322F"/>
    <w:rsid w:val="000B5EF0"/>
    <w:rsid w:val="000F347A"/>
    <w:rsid w:val="00137CCA"/>
    <w:rsid w:val="00157192"/>
    <w:rsid w:val="0018289B"/>
    <w:rsid w:val="001C2EFE"/>
    <w:rsid w:val="001F4559"/>
    <w:rsid w:val="0022152D"/>
    <w:rsid w:val="002627B4"/>
    <w:rsid w:val="00265715"/>
    <w:rsid w:val="00307743"/>
    <w:rsid w:val="00366641"/>
    <w:rsid w:val="003A6A5A"/>
    <w:rsid w:val="003E0D08"/>
    <w:rsid w:val="00414E0E"/>
    <w:rsid w:val="00461D78"/>
    <w:rsid w:val="004633E8"/>
    <w:rsid w:val="00466079"/>
    <w:rsid w:val="00472730"/>
    <w:rsid w:val="00477D17"/>
    <w:rsid w:val="004965D8"/>
    <w:rsid w:val="00516E38"/>
    <w:rsid w:val="00521A00"/>
    <w:rsid w:val="005311FC"/>
    <w:rsid w:val="00532BBB"/>
    <w:rsid w:val="00585452"/>
    <w:rsid w:val="005C4FBE"/>
    <w:rsid w:val="006012D4"/>
    <w:rsid w:val="006166E5"/>
    <w:rsid w:val="00646565"/>
    <w:rsid w:val="006778A0"/>
    <w:rsid w:val="00685B11"/>
    <w:rsid w:val="00691E67"/>
    <w:rsid w:val="006D10B3"/>
    <w:rsid w:val="006D3B7D"/>
    <w:rsid w:val="006E040A"/>
    <w:rsid w:val="00705D01"/>
    <w:rsid w:val="00730FD4"/>
    <w:rsid w:val="00786776"/>
    <w:rsid w:val="007A6C20"/>
    <w:rsid w:val="007B68C5"/>
    <w:rsid w:val="007C0935"/>
    <w:rsid w:val="007C3CA2"/>
    <w:rsid w:val="007D36C5"/>
    <w:rsid w:val="007F1BB4"/>
    <w:rsid w:val="00803075"/>
    <w:rsid w:val="00842F08"/>
    <w:rsid w:val="008557AF"/>
    <w:rsid w:val="008738B7"/>
    <w:rsid w:val="008B78BC"/>
    <w:rsid w:val="008D35B3"/>
    <w:rsid w:val="008E7356"/>
    <w:rsid w:val="008F3719"/>
    <w:rsid w:val="008F6770"/>
    <w:rsid w:val="009164A5"/>
    <w:rsid w:val="009211E3"/>
    <w:rsid w:val="0092208E"/>
    <w:rsid w:val="00942D1C"/>
    <w:rsid w:val="009801F8"/>
    <w:rsid w:val="009907DB"/>
    <w:rsid w:val="009A26D7"/>
    <w:rsid w:val="009A6E47"/>
    <w:rsid w:val="009E7CC4"/>
    <w:rsid w:val="00A251FC"/>
    <w:rsid w:val="00AF5623"/>
    <w:rsid w:val="00B013F3"/>
    <w:rsid w:val="00B135D5"/>
    <w:rsid w:val="00B27A74"/>
    <w:rsid w:val="00B87DD4"/>
    <w:rsid w:val="00C16115"/>
    <w:rsid w:val="00C225BA"/>
    <w:rsid w:val="00C2307B"/>
    <w:rsid w:val="00C367DC"/>
    <w:rsid w:val="00C66919"/>
    <w:rsid w:val="00CA6527"/>
    <w:rsid w:val="00D630C7"/>
    <w:rsid w:val="00D77A14"/>
    <w:rsid w:val="00D81CB6"/>
    <w:rsid w:val="00D86365"/>
    <w:rsid w:val="00DE46DD"/>
    <w:rsid w:val="00DE6670"/>
    <w:rsid w:val="00E31AD6"/>
    <w:rsid w:val="00E43EA1"/>
    <w:rsid w:val="00E95432"/>
    <w:rsid w:val="00F0597B"/>
    <w:rsid w:val="00F62818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5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5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gen.Huttner@uk-erla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BF5-8145-4E6A-A3B8-1CBFC1B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Sprügel, Maximilian</dc:creator>
  <cp:lastModifiedBy>Mrochen, Anne</cp:lastModifiedBy>
  <cp:revision>61</cp:revision>
  <cp:lastPrinted>2019-07-16T06:18:00Z</cp:lastPrinted>
  <dcterms:created xsi:type="dcterms:W3CDTF">2018-06-09T21:03:00Z</dcterms:created>
  <dcterms:modified xsi:type="dcterms:W3CDTF">2020-02-23T12:44:00Z</dcterms:modified>
</cp:coreProperties>
</file>