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CD7" w:rsidRDefault="00772CD7" w:rsidP="00895CE2">
      <w:pPr>
        <w:spacing w:line="360" w:lineRule="auto"/>
        <w:rPr>
          <w:rFonts w:ascii="Arial" w:hAnsi="Arial" w:cs="Arial"/>
          <w:b/>
        </w:rPr>
      </w:pPr>
      <w:r w:rsidRPr="00BF200C">
        <w:rPr>
          <w:rFonts w:ascii="Arial" w:hAnsi="Arial" w:cs="Arial"/>
          <w:b/>
        </w:rPr>
        <w:t>Methods</w:t>
      </w:r>
    </w:p>
    <w:p w:rsidR="00895CE2" w:rsidRPr="00BF200C" w:rsidRDefault="00895CE2" w:rsidP="00895CE2">
      <w:pPr>
        <w:spacing w:line="360" w:lineRule="auto"/>
        <w:rPr>
          <w:rFonts w:ascii="Arial" w:hAnsi="Arial" w:cs="Arial"/>
          <w:b/>
        </w:rPr>
      </w:pPr>
    </w:p>
    <w:p w:rsidR="00772CD7" w:rsidRPr="00BF200C" w:rsidRDefault="00772CD7" w:rsidP="00895CE2">
      <w:pPr>
        <w:spacing w:line="360" w:lineRule="auto"/>
        <w:rPr>
          <w:rFonts w:ascii="Arial" w:hAnsi="Arial" w:cs="Arial"/>
          <w:i/>
        </w:rPr>
      </w:pPr>
      <w:r w:rsidRPr="00BF200C">
        <w:rPr>
          <w:rFonts w:ascii="Arial" w:hAnsi="Arial" w:cs="Arial"/>
          <w:i/>
        </w:rPr>
        <w:t xml:space="preserve">Data </w:t>
      </w:r>
      <w:r w:rsidR="00895CE2" w:rsidRPr="00BF200C">
        <w:rPr>
          <w:rFonts w:ascii="Arial" w:hAnsi="Arial" w:cs="Arial"/>
          <w:i/>
        </w:rPr>
        <w:t>A</w:t>
      </w:r>
      <w:r w:rsidRPr="00BF200C">
        <w:rPr>
          <w:rFonts w:ascii="Arial" w:hAnsi="Arial" w:cs="Arial"/>
          <w:i/>
        </w:rPr>
        <w:t>cquisition</w:t>
      </w:r>
    </w:p>
    <w:p w:rsidR="00D47A43" w:rsidRDefault="00772CD7" w:rsidP="00895CE2">
      <w:pPr>
        <w:spacing w:line="360" w:lineRule="auto"/>
      </w:pPr>
      <w:r w:rsidRPr="00BF200C">
        <w:rPr>
          <w:rFonts w:ascii="Arial" w:hAnsi="Arial" w:cs="Arial"/>
        </w:rPr>
        <w:t>After ethic approval (BASEC</w:t>
      </w:r>
      <w:r w:rsidR="003E075A">
        <w:rPr>
          <w:rFonts w:ascii="Arial" w:hAnsi="Arial" w:cs="Arial"/>
        </w:rPr>
        <w:t xml:space="preserve"> </w:t>
      </w:r>
      <w:r w:rsidRPr="00BF200C">
        <w:rPr>
          <w:rFonts w:ascii="Arial" w:hAnsi="Arial" w:cs="Arial"/>
        </w:rPr>
        <w:t>N</w:t>
      </w:r>
      <w:r w:rsidR="003E075A">
        <w:rPr>
          <w:rFonts w:ascii="Arial" w:hAnsi="Arial" w:cs="Arial"/>
        </w:rPr>
        <w:t>o</w:t>
      </w:r>
      <w:r w:rsidRPr="00BF200C">
        <w:rPr>
          <w:rFonts w:ascii="Arial" w:hAnsi="Arial" w:cs="Arial"/>
        </w:rPr>
        <w:t>. ID 2018-00854), the hospital database was searched for patients ≥18 years old, treated at the Department of Dermatology at the University Hospital Zurich in the last 20 years (</w:t>
      </w:r>
      <w:r w:rsidR="003E075A">
        <w:rPr>
          <w:rFonts w:ascii="Arial" w:hAnsi="Arial" w:cs="Arial"/>
        </w:rPr>
        <w:t xml:space="preserve">January </w:t>
      </w:r>
      <w:r w:rsidRPr="00BF200C">
        <w:rPr>
          <w:rFonts w:ascii="Arial" w:hAnsi="Arial" w:cs="Arial"/>
        </w:rPr>
        <w:t>1</w:t>
      </w:r>
      <w:r w:rsidR="003E075A">
        <w:rPr>
          <w:rFonts w:ascii="Arial" w:hAnsi="Arial" w:cs="Arial"/>
        </w:rPr>
        <w:t xml:space="preserve">, </w:t>
      </w:r>
      <w:r w:rsidRPr="00BF200C">
        <w:rPr>
          <w:rFonts w:ascii="Arial" w:hAnsi="Arial" w:cs="Arial"/>
        </w:rPr>
        <w:t>1998</w:t>
      </w:r>
      <w:r w:rsidR="003E075A">
        <w:rPr>
          <w:rFonts w:ascii="Arial" w:hAnsi="Arial" w:cs="Arial"/>
        </w:rPr>
        <w:t xml:space="preserve">, to December </w:t>
      </w:r>
      <w:r w:rsidRPr="00BF200C">
        <w:rPr>
          <w:rFonts w:ascii="Arial" w:hAnsi="Arial" w:cs="Arial"/>
        </w:rPr>
        <w:t>31</w:t>
      </w:r>
      <w:r w:rsidR="003E075A">
        <w:rPr>
          <w:rFonts w:ascii="Arial" w:hAnsi="Arial" w:cs="Arial"/>
        </w:rPr>
        <w:t xml:space="preserve">, </w:t>
      </w:r>
      <w:r w:rsidRPr="00BF200C">
        <w:rPr>
          <w:rFonts w:ascii="Arial" w:hAnsi="Arial" w:cs="Arial"/>
        </w:rPr>
        <w:t xml:space="preserve">2017). </w:t>
      </w:r>
      <w:r w:rsidR="003E075A">
        <w:rPr>
          <w:rFonts w:ascii="Arial" w:hAnsi="Arial" w:cs="Arial"/>
        </w:rPr>
        <w:t>“</w:t>
      </w:r>
      <w:r w:rsidRPr="00BF200C">
        <w:rPr>
          <w:rFonts w:ascii="Arial" w:hAnsi="Arial" w:cs="Arial"/>
        </w:rPr>
        <w:t>Generalized granuloma annulare</w:t>
      </w:r>
      <w:r w:rsidR="003E075A">
        <w:rPr>
          <w:rFonts w:ascii="Arial" w:hAnsi="Arial" w:cs="Arial"/>
        </w:rPr>
        <w:t>”</w:t>
      </w:r>
      <w:r w:rsidRPr="00BF200C">
        <w:rPr>
          <w:rFonts w:ascii="Arial" w:hAnsi="Arial" w:cs="Arial"/>
        </w:rPr>
        <w:t xml:space="preserve"> or </w:t>
      </w:r>
      <w:r w:rsidR="003E075A">
        <w:rPr>
          <w:rFonts w:ascii="Arial" w:hAnsi="Arial" w:cs="Arial"/>
        </w:rPr>
        <w:t>“d</w:t>
      </w:r>
      <w:r w:rsidRPr="00BF200C">
        <w:rPr>
          <w:rFonts w:ascii="Arial" w:hAnsi="Arial" w:cs="Arial"/>
        </w:rPr>
        <w:t>isseminated granuloma annulare</w:t>
      </w:r>
      <w:r w:rsidR="003E075A">
        <w:rPr>
          <w:rFonts w:ascii="Arial" w:hAnsi="Arial" w:cs="Arial"/>
        </w:rPr>
        <w:t>”</w:t>
      </w:r>
      <w:r w:rsidRPr="00BF200C">
        <w:rPr>
          <w:rFonts w:ascii="Arial" w:hAnsi="Arial" w:cs="Arial"/>
        </w:rPr>
        <w:t xml:space="preserve"> were the keywords used. 61 patients matched these criteria. No patients were excluded due to age (&lt;18</w:t>
      </w:r>
      <w:r w:rsidR="003E075A">
        <w:rPr>
          <w:rFonts w:ascii="Arial" w:hAnsi="Arial" w:cs="Arial"/>
        </w:rPr>
        <w:t xml:space="preserve"> years</w:t>
      </w:r>
      <w:r w:rsidRPr="00BF200C">
        <w:rPr>
          <w:rFonts w:ascii="Arial" w:hAnsi="Arial" w:cs="Arial"/>
        </w:rPr>
        <w:t>) or due to loss of follow-up (Fig</w:t>
      </w:r>
      <w:r w:rsidR="003E075A">
        <w:rPr>
          <w:rFonts w:ascii="Arial" w:hAnsi="Arial" w:cs="Arial"/>
        </w:rPr>
        <w:t>.</w:t>
      </w:r>
      <w:r w:rsidRPr="00BF200C">
        <w:rPr>
          <w:rFonts w:ascii="Arial" w:hAnsi="Arial" w:cs="Arial"/>
        </w:rPr>
        <w:t xml:space="preserve"> 1). The health records were thoroughly screened for age, gender, diagnosis, treatment modality, treatment response and coexisting diseases (infectious, metabolic, thyroid and malignant). Effectiveness – as judged by the treating physician – was categorized into complete remission, improvement, stable disease and progression of disease. Response was measured after 3 months and </w:t>
      </w:r>
      <w:r w:rsidR="003E075A">
        <w:rPr>
          <w:rFonts w:ascii="Arial" w:hAnsi="Arial" w:cs="Arial"/>
        </w:rPr>
        <w:t xml:space="preserve">in the </w:t>
      </w:r>
      <w:r w:rsidRPr="00BF200C">
        <w:rPr>
          <w:rFonts w:ascii="Arial" w:hAnsi="Arial" w:cs="Arial"/>
        </w:rPr>
        <w:t>long</w:t>
      </w:r>
      <w:r w:rsidR="00B067C6">
        <w:rPr>
          <w:rFonts w:ascii="Arial" w:hAnsi="Arial" w:cs="Arial"/>
        </w:rPr>
        <w:t xml:space="preserve"> </w:t>
      </w:r>
      <w:r w:rsidRPr="00BF200C">
        <w:rPr>
          <w:rFonts w:ascii="Arial" w:hAnsi="Arial" w:cs="Arial"/>
        </w:rPr>
        <w:t>term (i.e.</w:t>
      </w:r>
      <w:r w:rsidR="003E075A">
        <w:rPr>
          <w:rFonts w:ascii="Arial" w:hAnsi="Arial" w:cs="Arial"/>
        </w:rPr>
        <w:t>,</w:t>
      </w:r>
      <w:r w:rsidRPr="00BF200C">
        <w:rPr>
          <w:rFonts w:ascii="Arial" w:hAnsi="Arial" w:cs="Arial"/>
        </w:rPr>
        <w:t xml:space="preserve"> latest documented time point co</w:t>
      </w:r>
      <w:bookmarkStart w:id="0" w:name="_GoBack"/>
      <w:bookmarkEnd w:id="0"/>
      <w:r w:rsidRPr="00BF200C">
        <w:rPr>
          <w:rFonts w:ascii="Arial" w:hAnsi="Arial" w:cs="Arial"/>
        </w:rPr>
        <w:t xml:space="preserve">mpared to baseline). Only treatments with </w:t>
      </w:r>
      <w:r w:rsidRPr="003E075A">
        <w:rPr>
          <w:rFonts w:ascii="Arial" w:hAnsi="Arial" w:cs="Arial"/>
          <w:i/>
        </w:rPr>
        <w:t>n</w:t>
      </w:r>
      <w:r w:rsidR="003E075A">
        <w:rPr>
          <w:rFonts w:ascii="Arial" w:hAnsi="Arial" w:cs="Arial"/>
        </w:rPr>
        <w:t xml:space="preserve"> </w:t>
      </w:r>
      <w:r w:rsidRPr="00BF200C">
        <w:rPr>
          <w:rFonts w:ascii="Arial" w:hAnsi="Arial" w:cs="Arial"/>
        </w:rPr>
        <w:t>=</w:t>
      </w:r>
      <w:r w:rsidR="003E075A">
        <w:rPr>
          <w:rFonts w:ascii="Arial" w:hAnsi="Arial" w:cs="Arial"/>
        </w:rPr>
        <w:t xml:space="preserve"> </w:t>
      </w:r>
      <w:r w:rsidRPr="00BF200C">
        <w:rPr>
          <w:rFonts w:ascii="Arial" w:hAnsi="Arial" w:cs="Arial"/>
        </w:rPr>
        <w:t>5 or higher were considered for further analysis.</w:t>
      </w:r>
    </w:p>
    <w:sectPr w:rsidR="00D47A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D7"/>
    <w:rsid w:val="003E075A"/>
    <w:rsid w:val="00772CD7"/>
    <w:rsid w:val="00895CE2"/>
    <w:rsid w:val="00B067C6"/>
    <w:rsid w:val="00D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6F33A"/>
  <w15:chartTrackingRefBased/>
  <w15:docId w15:val="{C32D2A9A-363C-4431-80D5-B04F273B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7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4</cp:revision>
  <dcterms:created xsi:type="dcterms:W3CDTF">2020-03-19T11:56:00Z</dcterms:created>
  <dcterms:modified xsi:type="dcterms:W3CDTF">2020-05-04T05:38:00Z</dcterms:modified>
</cp:coreProperties>
</file>