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23" w:rsidRPr="00845A7A" w:rsidRDefault="00A82323" w:rsidP="00A82323">
      <w:pPr>
        <w:spacing w:after="12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45A7A">
        <w:rPr>
          <w:rFonts w:ascii="Arial" w:hAnsi="Arial" w:cs="Arial"/>
          <w:b/>
          <w:sz w:val="24"/>
          <w:szCs w:val="24"/>
          <w:lang w:val="en-US"/>
        </w:rPr>
        <w:t>Supplementary information</w:t>
      </w:r>
    </w:p>
    <w:p w:rsidR="00A82323" w:rsidRPr="00845A7A" w:rsidRDefault="00A82323" w:rsidP="00A82323">
      <w:pPr>
        <w:spacing w:after="12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82323" w:rsidRPr="00845A7A" w:rsidRDefault="00A82323" w:rsidP="00A82323">
      <w:pPr>
        <w:spacing w:after="12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45A7A">
        <w:rPr>
          <w:rFonts w:ascii="Arial" w:hAnsi="Arial" w:cs="Arial"/>
          <w:b/>
          <w:sz w:val="24"/>
          <w:szCs w:val="24"/>
          <w:lang w:val="en-US"/>
        </w:rPr>
        <w:t>Methods</w:t>
      </w:r>
    </w:p>
    <w:p w:rsidR="00A82323" w:rsidRPr="00845A7A" w:rsidRDefault="00A82323" w:rsidP="00A82323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845A7A">
        <w:rPr>
          <w:rFonts w:ascii="Arial" w:hAnsi="Arial" w:cs="Arial"/>
          <w:sz w:val="24"/>
          <w:szCs w:val="24"/>
          <w:lang w:val="en-US"/>
        </w:rPr>
        <w:t>Immunofluorescence staining was performed on 4 – 5 µm thick formaldehyde-fixed and paraffin-embedded skin biopsies from atopic dermatitis patients (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lesional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n=13, non-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lesional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n=5) and healthy individuals (n=3). </w:t>
      </w:r>
    </w:p>
    <w:p w:rsidR="00A82323" w:rsidRPr="00845A7A" w:rsidRDefault="00A82323" w:rsidP="00A82323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845A7A">
        <w:rPr>
          <w:rFonts w:ascii="Arial" w:hAnsi="Arial" w:cs="Arial"/>
          <w:sz w:val="24"/>
          <w:szCs w:val="24"/>
          <w:lang w:val="en-US"/>
        </w:rPr>
        <w:t xml:space="preserve">Sections were deparaffinized and rehydrated with decreasing ethanol dilutions. After antigen retrieval in 1 mM EDTA / 10 mM Tris buffer pH 9.0 (CD3 staining) or 10 mM Tri-sodium-citrate buffer pH 6.0 (all other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stainings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), slides were incubated for one hour in a blocking solution composed of 25% normal donkey serum (CD3, MCT, vimentin, CD1a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stainings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) or 25% normal rabbit serum (CD11b, ECP), 25% human polyvalent IgG, 25% BSA, 25% PBS, 1%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ChromPure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human IgG. For the CD68 staining the, solution was composed of 20% normal donkey serum, 20% normal rabbit serum, 20% human polyvalent IgG, 20% BSA, 20% PBS, and 1%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ChromPure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human IgG. Sections were then incubated overnight at 4°C with antibodies directed against IL-15 (R&amp;D Systems, Minneapolis, MN, USA), ECP (Pharmacia &amp; Upjohn, Uppsala, Sweden), vimentin (Cell Signaling Technology, Danvers, MA), MCT, CD1a, CD3, CD68 (all from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Dako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Glostrup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, Denmark) and CD11b (Santa Cruz Biotechnology, Dallas, TX, USA). Subsequently, specimens were treated with corresponding secondary antibodies labeled with Alexa Fluor 488 (Life Technologies, Eugene, OR, USA and Jackson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ImmunoResearch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, West Grove, PA, USA), Alexa Fluor 555 (Life Technologies, Eugene, OR, USA), Cy3 or TRITC (both from Jackson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ImmunoResearch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, West Grove, PA, USA) for one hour. DNA was thereafter demonstrated with Hoechst stain (Molecular Probes, Eugene, OR, USA). Lastly, samples were mounted in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Dako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fluorescent mounting medium (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Dako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, Carpinteria, CA, USA). Control slides were treated similarly while omitting the primary antibodies. </w:t>
      </w:r>
    </w:p>
    <w:p w:rsidR="00A82323" w:rsidRPr="00845A7A" w:rsidRDefault="00A82323" w:rsidP="00A82323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845A7A">
        <w:rPr>
          <w:rFonts w:ascii="Arial" w:hAnsi="Arial" w:cs="Arial"/>
          <w:sz w:val="24"/>
          <w:szCs w:val="24"/>
          <w:lang w:val="en-US"/>
        </w:rPr>
        <w:t xml:space="preserve">The analysis of the skin sections was performed using a confocal laser scanning microscope (LSM510, Carl Zeiss, Jena, Germany) and a digital slide scanner (slide scanner Panoramic Midi, 3Dhistech, Budapest, Hungary). Cells were counted in ten 146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μm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x 146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μm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juxtaposed fields per specimen in the dermis. CD1a</w:t>
      </w:r>
      <w:r w:rsidRPr="00845A7A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845A7A">
        <w:rPr>
          <w:rFonts w:ascii="Arial" w:hAnsi="Arial" w:cs="Arial"/>
          <w:sz w:val="24"/>
          <w:szCs w:val="24"/>
          <w:lang w:val="en-US"/>
        </w:rPr>
        <w:t xml:space="preserve"> cells were counted in the epidermis. Dermal DC were identified with morphological criteria (spindle shaped cells) in addition to CD11b and vimentin positivity. IL-15 expression </w:t>
      </w:r>
      <w:r w:rsidRPr="00845A7A">
        <w:rPr>
          <w:rFonts w:ascii="Arial" w:hAnsi="Arial" w:cs="Arial"/>
          <w:sz w:val="24"/>
          <w:szCs w:val="24"/>
          <w:lang w:val="en-US"/>
        </w:rPr>
        <w:lastRenderedPageBreak/>
        <w:t xml:space="preserve">in the epidermis was quantified in 5 representative images per biopsy with the software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Imaris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Bitplane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, Zurich, Switzerland). To this end, the percentage of the epidermis that was IL-15 positive, was analyzed whereby DC, morphologically recognizable by their morphology and high IL-15 positivity, were excluded. </w:t>
      </w:r>
    </w:p>
    <w:p w:rsidR="00A82323" w:rsidRPr="00E617C3" w:rsidRDefault="00A82323" w:rsidP="00A82323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845A7A">
        <w:rPr>
          <w:rFonts w:ascii="Arial" w:hAnsi="Arial" w:cs="Arial"/>
          <w:sz w:val="24"/>
          <w:szCs w:val="24"/>
          <w:lang w:val="en-US"/>
        </w:rPr>
        <w:t xml:space="preserve">The statistical analysis was performed using the software GraphPad Prism 7 (La Jolla, CA, USA). Mean values ± SEM are provided. To compare the three groups (AD, non </w:t>
      </w:r>
      <w:proofErr w:type="spellStart"/>
      <w:r w:rsidRPr="00845A7A">
        <w:rPr>
          <w:rFonts w:ascii="Arial" w:hAnsi="Arial" w:cs="Arial"/>
          <w:sz w:val="24"/>
          <w:szCs w:val="24"/>
          <w:lang w:val="en-US"/>
        </w:rPr>
        <w:t>lesional</w:t>
      </w:r>
      <w:proofErr w:type="spellEnd"/>
      <w:r w:rsidRPr="00845A7A">
        <w:rPr>
          <w:rFonts w:ascii="Arial" w:hAnsi="Arial" w:cs="Arial"/>
          <w:sz w:val="24"/>
          <w:szCs w:val="24"/>
          <w:lang w:val="en-US"/>
        </w:rPr>
        <w:t xml:space="preserve"> AD and normal skin), the one-way ANOVA and Tukey’s multiple comparisons tests were applied. P-values ≤0,05 were considered statistically significant.</w:t>
      </w:r>
      <w:r w:rsidRPr="00E617C3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4F71C8" w:rsidRDefault="004F71C8">
      <w:bookmarkStart w:id="0" w:name="_GoBack"/>
      <w:bookmarkEnd w:id="0"/>
    </w:p>
    <w:sectPr w:rsidR="004F71C8" w:rsidSect="00CF34D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23"/>
    <w:rsid w:val="002228D1"/>
    <w:rsid w:val="004F71C8"/>
    <w:rsid w:val="00A82323"/>
    <w:rsid w:val="00BB12B7"/>
    <w:rsid w:val="00CF34D0"/>
    <w:rsid w:val="00C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B97DFF-188C-4123-9E8B-E8C0028D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Shochat</dc:creator>
  <cp:keywords/>
  <dc:description/>
  <cp:lastModifiedBy>Shelly Shochat</cp:lastModifiedBy>
  <cp:revision>1</cp:revision>
  <dcterms:created xsi:type="dcterms:W3CDTF">2020-05-08T08:55:00Z</dcterms:created>
  <dcterms:modified xsi:type="dcterms:W3CDTF">2020-05-08T08:55:00Z</dcterms:modified>
</cp:coreProperties>
</file>