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6D" w:rsidRDefault="00A544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43F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Pr="00A5443F"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A5443F" w:rsidRDefault="00A54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1D383E2" wp14:editId="4A773E3B">
            <wp:simplePos x="0" y="0"/>
            <wp:positionH relativeFrom="column">
              <wp:posOffset>2682240</wp:posOffset>
            </wp:positionH>
            <wp:positionV relativeFrom="paragraph">
              <wp:posOffset>241173</wp:posOffset>
            </wp:positionV>
            <wp:extent cx="3769995" cy="2520950"/>
            <wp:effectExtent l="0" t="0" r="1905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EB8AD16" wp14:editId="4DD4F53D">
            <wp:simplePos x="0" y="0"/>
            <wp:positionH relativeFrom="column">
              <wp:posOffset>-1005840</wp:posOffset>
            </wp:positionH>
            <wp:positionV relativeFrom="paragraph">
              <wp:posOffset>265811</wp:posOffset>
            </wp:positionV>
            <wp:extent cx="3940175" cy="2633345"/>
            <wp:effectExtent l="0" t="0" r="317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43F" w:rsidRDefault="00A5443F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Pr="00B55A31" w:rsidRDefault="00B55A31" w:rsidP="00B55A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ahoma" w:hAnsi="Times New Roman" w:cs="Times New Roman"/>
          <w:i/>
          <w:sz w:val="26"/>
        </w:rPr>
      </w:pPr>
      <w:r w:rsidRPr="00B55A31">
        <w:rPr>
          <w:rFonts w:ascii="Times New Roman" w:eastAsia="Tahoma" w:hAnsi="Times New Roman" w:cs="Times New Roman"/>
          <w:b/>
          <w:i/>
          <w:sz w:val="24"/>
          <w:szCs w:val="24"/>
          <w:lang w:val="en-US"/>
        </w:rPr>
        <w:t>Legend to</w:t>
      </w:r>
      <w:r w:rsidRPr="00B55A31">
        <w:rPr>
          <w:rFonts w:ascii="Times New Roman" w:eastAsia="Tahoma" w:hAnsi="Times New Roman" w:cs="Times New Roman"/>
          <w:i/>
          <w:sz w:val="24"/>
          <w:szCs w:val="24"/>
          <w:lang w:val="en-US"/>
        </w:rPr>
        <w:t xml:space="preserve"> </w:t>
      </w:r>
      <w:r w:rsidRPr="00B55A31">
        <w:rPr>
          <w:rFonts w:ascii="Times New Roman" w:eastAsia="Tahoma" w:hAnsi="Times New Roman" w:cs="Times New Roman"/>
          <w:b/>
          <w:i/>
          <w:sz w:val="24"/>
          <w:szCs w:val="24"/>
          <w:lang w:val="en-US"/>
        </w:rPr>
        <w:t>Figure S.1</w:t>
      </w:r>
      <w:r w:rsidR="00773F57">
        <w:rPr>
          <w:rFonts w:ascii="Times New Roman" w:eastAsia="Tahoma" w:hAnsi="Times New Roman" w:cs="Times New Roman"/>
          <w:i/>
          <w:sz w:val="24"/>
          <w:szCs w:val="24"/>
          <w:lang w:val="en-US"/>
        </w:rPr>
        <w:t xml:space="preserve"> (supplementary</w:t>
      </w:r>
      <w:r w:rsidRPr="00B55A31">
        <w:rPr>
          <w:rFonts w:ascii="Times New Roman" w:eastAsia="Tahoma" w:hAnsi="Times New Roman" w:cs="Times New Roman"/>
          <w:i/>
          <w:sz w:val="24"/>
          <w:szCs w:val="24"/>
          <w:lang w:val="en-US"/>
        </w:rPr>
        <w:t xml:space="preserve"> material)</w:t>
      </w:r>
      <w:r w:rsidRPr="00B55A31">
        <w:rPr>
          <w:rFonts w:ascii="Times New Roman" w:eastAsia="Tahoma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E. coli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resistance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rates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95%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confidence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intervals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in 236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patients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historical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UTIs (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right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) and in 240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patients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without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historical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UTIs (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left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). Resistance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rates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were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found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during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treatment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for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symptomatic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UTIs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quinolone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nitrofurantoin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cotrimoxazole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cephalosporin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fosfomycine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(Table 3).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Descriptive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p-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values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for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>quinolone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co-trimoxazole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versus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nitrofurantoin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.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Figure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S.1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is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a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graphical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rendition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of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the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E. coli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resistance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rates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after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treatment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5</w:t>
      </w:r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different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antibiotoics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,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listed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as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%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incidence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95%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confidence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intervals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in Table 3, in</w:t>
      </w:r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patients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and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without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historical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UTI’s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>.</w:t>
      </w:r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The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data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have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been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analysed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the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PROC CATMOD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module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for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categorical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models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from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Statistical Analysis System, SAS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Instutute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, Cary N.C., USA.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Results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have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been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checked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Fisher’s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exact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test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, and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desciptive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p-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values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for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quinolone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and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cotrimoxazole</w:t>
      </w:r>
      <w:proofErr w:type="spellEnd"/>
      <w:r w:rsidRPr="00B55A31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versus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nitrofurantoin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were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added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to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the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Figure</w:t>
      </w:r>
      <w:proofErr w:type="spellEnd"/>
      <w:r w:rsidR="00CF5A4B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for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the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subgroup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with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proofErr w:type="spellStart"/>
      <w:r w:rsidRPr="00B55A31">
        <w:rPr>
          <w:rFonts w:ascii="Times New Roman" w:eastAsia="Tahoma" w:hAnsi="Times New Roman" w:cs="Times New Roman"/>
          <w:i/>
          <w:sz w:val="24"/>
          <w:szCs w:val="24"/>
        </w:rPr>
        <w:t>historical</w:t>
      </w:r>
      <w:proofErr w:type="spellEnd"/>
      <w:r w:rsidRPr="00B55A31">
        <w:rPr>
          <w:rFonts w:ascii="Times New Roman" w:eastAsia="Tahoma" w:hAnsi="Times New Roman" w:cs="Times New Roman"/>
          <w:i/>
          <w:sz w:val="24"/>
          <w:szCs w:val="24"/>
        </w:rPr>
        <w:t xml:space="preserve"> UTIs</w:t>
      </w:r>
      <w:r w:rsidRPr="00B55A31">
        <w:rPr>
          <w:rFonts w:ascii="Times New Roman" w:eastAsia="Tahoma" w:hAnsi="Times New Roman" w:cs="Times New Roman"/>
          <w:i/>
          <w:sz w:val="26"/>
        </w:rPr>
        <w:t>.</w:t>
      </w:r>
    </w:p>
    <w:p w:rsidR="00CF5A4B" w:rsidRDefault="00CF5A4B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Default="00E603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2a</w:t>
      </w:r>
      <w:r w:rsidR="00B55A31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134"/>
        <w:gridCol w:w="1559"/>
        <w:gridCol w:w="1504"/>
        <w:gridCol w:w="1620"/>
        <w:gridCol w:w="1418"/>
        <w:gridCol w:w="892"/>
      </w:tblGrid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lastRenderedPageBreak/>
              <w:t>antibiotic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qu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inolone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n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itrofurantoin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o-trimoxazole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ephalosporine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osfomycin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t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otal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</w:tcPr>
          <w:p w:rsidR="00CF5A4B" w:rsidRPr="00DD5FA3" w:rsidRDefault="00CF5A4B" w:rsidP="0026353B">
            <w:pPr>
              <w:pStyle w:val="NurText"/>
              <w:rPr>
                <w:b/>
              </w:rPr>
            </w:pPr>
            <w:proofErr w:type="spellStart"/>
            <w:r>
              <w:rPr>
                <w:b/>
              </w:rPr>
              <w:t>row</w:t>
            </w:r>
            <w:proofErr w:type="spellEnd"/>
            <w:r>
              <w:rPr>
                <w:b/>
              </w:rPr>
              <w:t>=</w:t>
            </w:r>
            <w:proofErr w:type="spellStart"/>
            <w:r w:rsidRPr="00DD5FA3">
              <w:rPr>
                <w:b/>
              </w:rPr>
              <w:t>number</w:t>
            </w:r>
            <w:proofErr w:type="spellEnd"/>
            <w:r w:rsidRPr="00DD5FA3">
              <w:rPr>
                <w:b/>
              </w:rPr>
              <w:t xml:space="preserve"> of </w:t>
            </w:r>
            <w:proofErr w:type="spellStart"/>
            <w:r w:rsidRPr="00DD5FA3">
              <w:rPr>
                <w:b/>
              </w:rPr>
              <w:t>resistance</w:t>
            </w:r>
            <w:proofErr w:type="spellEnd"/>
            <w:r w:rsidRPr="00DD5FA3">
              <w:rPr>
                <w:b/>
              </w:rPr>
              <w:t xml:space="preserve">/total </w:t>
            </w:r>
            <w:proofErr w:type="spellStart"/>
            <w:r w:rsidRPr="00DD5FA3">
              <w:rPr>
                <w:b/>
              </w:rPr>
              <w:t>number</w:t>
            </w:r>
            <w:proofErr w:type="spellEnd"/>
            <w:r w:rsidRPr="00DD5FA3">
              <w:rPr>
                <w:b/>
              </w:rPr>
              <w:t xml:space="preserve"> </w:t>
            </w:r>
            <w:proofErr w:type="spellStart"/>
            <w:r w:rsidRPr="00DD5FA3">
              <w:rPr>
                <w:b/>
              </w:rPr>
              <w:t>tested</w:t>
            </w:r>
            <w:proofErr w:type="spellEnd"/>
          </w:p>
          <w:p w:rsidR="00CF5A4B" w:rsidRPr="00DD5FA3" w:rsidRDefault="00CF5A4B" w:rsidP="0026353B">
            <w:pPr>
              <w:pStyle w:val="NurText"/>
              <w:rPr>
                <w:b/>
              </w:rPr>
            </w:pPr>
            <w:r w:rsidRPr="00DD5FA3">
              <w:rPr>
                <w:b/>
              </w:rPr>
              <w:t xml:space="preserve">(%)- % </w:t>
            </w:r>
            <w:proofErr w:type="spellStart"/>
            <w:r w:rsidRPr="00DD5FA3">
              <w:rPr>
                <w:b/>
              </w:rPr>
              <w:t>resistant</w:t>
            </w:r>
            <w:proofErr w:type="spellEnd"/>
          </w:p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</w:tcPr>
          <w:p w:rsidR="00CF5A4B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</w:tcPr>
          <w:p w:rsidR="00CF5A4B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</w:tcPr>
          <w:p w:rsidR="00CF5A4B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</w:tcPr>
          <w:p w:rsidR="00CF5A4B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</w:tcPr>
          <w:p w:rsidR="00CF5A4B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</w:tcPr>
          <w:p w:rsidR="00CF5A4B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</w:tr>
      <w:tr w:rsidR="00CF5A4B" w:rsidRPr="00F30652" w:rsidTr="0026353B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E. coli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45/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(3%)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(21%)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(23%)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(21%)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69/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476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(14%)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Klebsiella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pneumoniae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(25)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0/5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6/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</w:p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(10%)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Proteus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mirabilis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(86%)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1/2 (50%)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1/2 (50%)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1/2 (50%)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14/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(36%)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Enterococcus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faecalis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1/2 (50%)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4/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(17%)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Enterobacter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cloacae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Staph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saprophyticus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Morganella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morganii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(27%)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/1 (100%)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4/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(31%)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Staph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cohnii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0/6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Klebsiella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oxytoca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(11%)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Staph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aureus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(33%)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(25%)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Pseudomonas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aeruginosa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Serratia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fonticola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/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ubideae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Acinetobacter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baumanii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/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Iwofii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0/0 (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11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Cedecea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lapagei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Citrobacter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freundii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(13%)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Citrobacter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koseri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/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brakii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Enterobacter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aerogenes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(14%)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lastRenderedPageBreak/>
              <w:t>Enterobacteriaceae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/1 (100%)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2/2 (100%)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Enterococcus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casseliflavus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1/1 (100%)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1/2 (50%)</w:t>
            </w:r>
          </w:p>
        </w:tc>
      </w:tr>
      <w:tr w:rsidR="00CF5A4B" w:rsidRPr="00F30652" w:rsidTr="0026353B">
        <w:trPr>
          <w:trHeight w:val="11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Enterococcus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faecium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Enterococcus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gallinarum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Kluyvera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spez.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/1 (100%)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(100%)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Micrococcus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kristinae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/ spez.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11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Mycoplasma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/1  (100%)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/1 (100%)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Pantoea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agglomerans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/1 (100%)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/1 (100%)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Pasteurella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pneumotropica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Proteus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penneri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(33%)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1/4 (25%)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Prov.ettgeri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Pseudomonas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luteola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1/4 (25%)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(14%)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Pseudomonas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pneumotropica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11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Raoultella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onithinolytica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/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planticola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11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Salmonella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1/2 (50%)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(33%) </w:t>
            </w:r>
          </w:p>
        </w:tc>
      </w:tr>
      <w:tr w:rsidR="00CF5A4B" w:rsidRPr="00F30652" w:rsidTr="0026353B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Serratia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liquefaciens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group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(67%)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/1 (100%)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3/4 (75%)</w:t>
            </w:r>
          </w:p>
        </w:tc>
      </w:tr>
      <w:tr w:rsidR="00CF5A4B" w:rsidRPr="003B6AA0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3B6AA0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3B6AA0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Serratia</w:t>
            </w:r>
            <w:proofErr w:type="spellEnd"/>
            <w:r w:rsidRPr="003B6AA0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3B6AA0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marcescens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3B6AA0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B6AA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1/3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3B6AA0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B6AA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2/2 (100%)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3B6AA0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B6AA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3B6AA0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B6AA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Pr="003B6AA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3B6AA0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3B6AA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3B6AA0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3B6AA0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3/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5</w:t>
            </w:r>
            <w:r w:rsidRPr="003B6AA0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(60%)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lastRenderedPageBreak/>
              <w:t>Serratia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plymuthica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Sphingomonas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paucimobilis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114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Staph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epidermidis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(12.5%)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Staph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hämolyticus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3/4 (75%)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Staph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hominis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Staph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intermedius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Staph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.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Lentus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/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warneri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/1 (100%)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(50%)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Streptokokkus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agalactiae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1/2 (50%)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(50%)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Streptokokkus spez.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1/2 (50%)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1/3 (33%) 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Vibrio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vulnificus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/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fluvialis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Yersinia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enterocolitica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(100%)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0/1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2/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(67%)</w:t>
            </w: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Pseudomonas</w:t>
            </w:r>
            <w:proofErr w:type="spellEnd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fluorescens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/0 (0%)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0/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(0%)</w:t>
            </w:r>
          </w:p>
        </w:tc>
      </w:tr>
      <w:tr w:rsidR="00CF5A4B" w:rsidRPr="00F30652" w:rsidTr="0026353B">
        <w:trPr>
          <w:trHeight w:val="57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72/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(14%)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19/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(17%)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79</w:t>
            </w:r>
          </w:p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15/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58</w:t>
            </w:r>
          </w:p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A4B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5/</w:t>
            </w:r>
            <w:r w:rsidRPr="00F30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(20%)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BBBBB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126/</w:t>
            </w:r>
            <w:r w:rsidRPr="00F30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792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 xml:space="preserve"> (16%)</w:t>
            </w:r>
          </w:p>
        </w:tc>
      </w:tr>
      <w:tr w:rsidR="00CF5A4B" w:rsidRPr="00F30652" w:rsidTr="0026353B">
        <w:trPr>
          <w:trHeight w:val="30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</w:tr>
      <w:tr w:rsidR="00CF5A4B" w:rsidRPr="00F30652" w:rsidTr="0026353B">
        <w:trPr>
          <w:trHeight w:val="85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F5A4B" w:rsidRPr="00F30652" w:rsidRDefault="00CF5A4B" w:rsidP="00263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CF5A4B" w:rsidRPr="00F30652" w:rsidRDefault="00CF5A4B" w:rsidP="0026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</w:p>
        </w:tc>
      </w:tr>
      <w:bookmarkEnd w:id="0"/>
    </w:tbl>
    <w:p w:rsidR="00B55A31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p w:rsidR="00E6036C" w:rsidRDefault="00E6036C">
      <w:pPr>
        <w:rPr>
          <w:rFonts w:ascii="Times New Roman" w:hAnsi="Times New Roman" w:cs="Times New Roman"/>
          <w:b/>
          <w:sz w:val="24"/>
          <w:szCs w:val="24"/>
        </w:rPr>
      </w:pPr>
    </w:p>
    <w:p w:rsidR="00E6036C" w:rsidRDefault="00E6036C">
      <w:pPr>
        <w:rPr>
          <w:rFonts w:ascii="Times New Roman" w:hAnsi="Times New Roman" w:cs="Times New Roman"/>
          <w:b/>
          <w:sz w:val="24"/>
          <w:szCs w:val="24"/>
        </w:rPr>
      </w:pPr>
    </w:p>
    <w:p w:rsidR="00773F57" w:rsidRPr="00773F57" w:rsidRDefault="00773F57" w:rsidP="00773F57">
      <w:pPr>
        <w:spacing w:after="0" w:line="480" w:lineRule="auto"/>
        <w:ind w:left="113"/>
        <w:rPr>
          <w:rFonts w:ascii="Times New Roman" w:eastAsia="Tahoma" w:hAnsi="Times New Roman" w:cs="Tahoma"/>
          <w:b/>
          <w:bCs/>
          <w:i/>
          <w:iCs/>
          <w:sz w:val="24"/>
          <w:szCs w:val="24"/>
          <w:lang w:val="en-US"/>
        </w:rPr>
      </w:pPr>
      <w:r w:rsidRPr="00773F57">
        <w:rPr>
          <w:rFonts w:ascii="Times New Roman" w:eastAsia="Tahoma" w:hAnsi="Times New Roman" w:cs="Tahoma"/>
          <w:b/>
          <w:bCs/>
          <w:i/>
          <w:iCs/>
          <w:sz w:val="24"/>
          <w:szCs w:val="24"/>
          <w:lang w:val="en-US"/>
        </w:rPr>
        <w:t xml:space="preserve">Legend to table 2a </w:t>
      </w:r>
    </w:p>
    <w:p w:rsidR="00773F57" w:rsidRPr="00773F57" w:rsidRDefault="00773F57" w:rsidP="00773F57">
      <w:pPr>
        <w:spacing w:after="0" w:line="480" w:lineRule="auto"/>
        <w:ind w:left="113"/>
        <w:rPr>
          <w:rFonts w:ascii="Times New Roman" w:eastAsia="Tahoma" w:hAnsi="Times New Roman" w:cs="Tahoma"/>
          <w:sz w:val="24"/>
          <w:lang w:val="en-US"/>
        </w:rPr>
      </w:pPr>
      <w:r w:rsidRPr="00773F57">
        <w:rPr>
          <w:rFonts w:ascii="Times New Roman" w:eastAsia="Tahoma" w:hAnsi="Times New Roman" w:cs="Tahoma"/>
          <w:i/>
          <w:iCs/>
          <w:sz w:val="24"/>
          <w:lang w:val="en-US"/>
        </w:rPr>
        <w:t>Significant bacteriuria at first referral in 2011, empirically treated with oral quinolones, nitrofurantoin, co-</w:t>
      </w:r>
      <w:proofErr w:type="spellStart"/>
      <w:r w:rsidRPr="00773F57">
        <w:rPr>
          <w:rFonts w:ascii="Times New Roman" w:eastAsia="Tahoma" w:hAnsi="Times New Roman" w:cs="Tahoma"/>
          <w:i/>
          <w:iCs/>
          <w:sz w:val="24"/>
          <w:lang w:val="en-US"/>
        </w:rPr>
        <w:t>trimoxazole</w:t>
      </w:r>
      <w:proofErr w:type="spellEnd"/>
      <w:r w:rsidRPr="00773F57">
        <w:rPr>
          <w:rFonts w:ascii="Times New Roman" w:eastAsia="Tahoma" w:hAnsi="Times New Roman" w:cs="Tahoma"/>
          <w:i/>
          <w:iCs/>
          <w:sz w:val="24"/>
          <w:lang w:val="en-US"/>
        </w:rPr>
        <w:t xml:space="preserve">, cephalosporin, or </w:t>
      </w:r>
      <w:proofErr w:type="spellStart"/>
      <w:r w:rsidRPr="00773F57">
        <w:rPr>
          <w:rFonts w:ascii="Times New Roman" w:eastAsia="Tahoma" w:hAnsi="Times New Roman" w:cs="Tahoma"/>
          <w:i/>
          <w:iCs/>
          <w:sz w:val="24"/>
          <w:lang w:val="en-US"/>
        </w:rPr>
        <w:t>fosfomycin</w:t>
      </w:r>
      <w:proofErr w:type="spellEnd"/>
      <w:r w:rsidRPr="00773F57">
        <w:rPr>
          <w:rFonts w:ascii="Times New Roman" w:eastAsia="Tahoma" w:hAnsi="Times New Roman" w:cs="Tahoma"/>
          <w:i/>
          <w:iCs/>
          <w:sz w:val="24"/>
          <w:lang w:val="en-US"/>
        </w:rPr>
        <w:t xml:space="preserve"> (n=792), with </w:t>
      </w:r>
      <w:proofErr w:type="spellStart"/>
      <w:r w:rsidRPr="00773F57">
        <w:rPr>
          <w:rFonts w:ascii="Times New Roman" w:eastAsia="Tahoma" w:hAnsi="Times New Roman" w:cs="Tahoma"/>
          <w:i/>
          <w:iCs/>
          <w:sz w:val="24"/>
          <w:lang w:val="en-US"/>
        </w:rPr>
        <w:t>prevalences</w:t>
      </w:r>
      <w:proofErr w:type="spellEnd"/>
      <w:r w:rsidRPr="00773F57">
        <w:rPr>
          <w:rFonts w:ascii="Times New Roman" w:eastAsia="Tahoma" w:hAnsi="Times New Roman" w:cs="Tahoma"/>
          <w:i/>
          <w:iCs/>
          <w:sz w:val="24"/>
          <w:lang w:val="en-US"/>
        </w:rPr>
        <w:t xml:space="preserve"> for </w:t>
      </w:r>
      <w:r w:rsidRPr="00773F57">
        <w:rPr>
          <w:rFonts w:ascii="Times New Roman" w:eastAsia="Tahoma" w:hAnsi="Times New Roman" w:cs="Tahoma"/>
          <w:i/>
          <w:iCs/>
          <w:sz w:val="24"/>
          <w:lang w:val="en-US"/>
        </w:rPr>
        <w:lastRenderedPageBreak/>
        <w:t xml:space="preserve">bacterial resistance to each of 5 first-line choices. All treatment periods: 5-7 days. Not included are 16 patients that received </w:t>
      </w:r>
      <w:r w:rsidRPr="00773F57">
        <w:rPr>
          <w:rFonts w:ascii="Times New Roman" w:eastAsia="Tahoma" w:hAnsi="Times New Roman" w:cs="Tahoma"/>
          <w:bCs/>
          <w:i/>
          <w:iCs/>
          <w:sz w:val="24"/>
          <w:szCs w:val="24"/>
          <w:lang w:val="en-US"/>
        </w:rPr>
        <w:t xml:space="preserve">ampicillin, tetracycline, or </w:t>
      </w:r>
      <w:proofErr w:type="spellStart"/>
      <w:r w:rsidRPr="00773F57">
        <w:rPr>
          <w:rFonts w:ascii="Times New Roman" w:eastAsia="Tahoma" w:hAnsi="Times New Roman" w:cs="Tahoma"/>
          <w:bCs/>
          <w:i/>
          <w:iCs/>
          <w:sz w:val="24"/>
          <w:szCs w:val="24"/>
          <w:lang w:val="en-US"/>
        </w:rPr>
        <w:t>carbapenem</w:t>
      </w:r>
      <w:proofErr w:type="spellEnd"/>
      <w:r w:rsidRPr="00773F57">
        <w:rPr>
          <w:rFonts w:ascii="Times New Roman" w:eastAsia="Tahoma" w:hAnsi="Times New Roman" w:cs="Tahoma"/>
          <w:bCs/>
          <w:i/>
          <w:iCs/>
          <w:sz w:val="24"/>
          <w:szCs w:val="24"/>
          <w:lang w:val="en-US"/>
        </w:rPr>
        <w:t>. All detected species are included.</w:t>
      </w:r>
    </w:p>
    <w:p w:rsidR="00773F57" w:rsidRDefault="00773F57">
      <w:pPr>
        <w:rPr>
          <w:rFonts w:ascii="Times New Roman" w:hAnsi="Times New Roman" w:cs="Times New Roman"/>
          <w:b/>
          <w:sz w:val="24"/>
          <w:szCs w:val="24"/>
        </w:rPr>
      </w:pPr>
    </w:p>
    <w:p w:rsidR="00B55A31" w:rsidRPr="00A5443F" w:rsidRDefault="00B55A31">
      <w:pPr>
        <w:rPr>
          <w:rFonts w:ascii="Times New Roman" w:hAnsi="Times New Roman" w:cs="Times New Roman"/>
          <w:b/>
          <w:sz w:val="24"/>
          <w:szCs w:val="24"/>
        </w:rPr>
      </w:pPr>
    </w:p>
    <w:sectPr w:rsidR="00B55A31" w:rsidRPr="00A54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F"/>
    <w:rsid w:val="0038146D"/>
    <w:rsid w:val="00563A74"/>
    <w:rsid w:val="00773F57"/>
    <w:rsid w:val="00A5443F"/>
    <w:rsid w:val="00A741C0"/>
    <w:rsid w:val="00B55A31"/>
    <w:rsid w:val="00CF5A4B"/>
    <w:rsid w:val="00E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A8E3-48D9-4477-8AF5-5BD4655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73F5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3F57"/>
    <w:rPr>
      <w:color w:val="954F72"/>
      <w:u w:val="single"/>
    </w:rPr>
  </w:style>
  <w:style w:type="paragraph" w:customStyle="1" w:styleId="msonormal0">
    <w:name w:val="msonormal"/>
    <w:basedOn w:val="Standard"/>
    <w:rsid w:val="0077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773F57"/>
    <w:pPr>
      <w:shd w:val="clear" w:color="000000" w:fill="BBBBB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66">
    <w:name w:val="xl66"/>
    <w:basedOn w:val="Standard"/>
    <w:rsid w:val="00773F5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xl67">
    <w:name w:val="xl67"/>
    <w:basedOn w:val="Standard"/>
    <w:rsid w:val="00773F57"/>
    <w:pPr>
      <w:shd w:val="clear" w:color="000000" w:fill="BBBBB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68">
    <w:name w:val="xl68"/>
    <w:basedOn w:val="Standard"/>
    <w:rsid w:val="00773F57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xl69">
    <w:name w:val="xl69"/>
    <w:basedOn w:val="Standard"/>
    <w:rsid w:val="00773F5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773F5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71">
    <w:name w:val="xl71"/>
    <w:basedOn w:val="Standard"/>
    <w:rsid w:val="00773F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xl72">
    <w:name w:val="xl72"/>
    <w:basedOn w:val="Standard"/>
    <w:rsid w:val="00773F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F57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CF5A4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5A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2020-03-11T14:43:00Z</dcterms:created>
  <dcterms:modified xsi:type="dcterms:W3CDTF">2020-03-11T14:43:00Z</dcterms:modified>
</cp:coreProperties>
</file>