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11B" w:rsidRPr="0021736E" w:rsidRDefault="00A6611B" w:rsidP="00A6611B">
      <w:pPr>
        <w:pStyle w:val="StandardWeb"/>
        <w:spacing w:line="480" w:lineRule="auto"/>
        <w:ind w:firstLine="709"/>
        <w:rPr>
          <w:rFonts w:ascii="Calibri" w:hAnsi="Calibri" w:cs="Calibri"/>
          <w:color w:val="000000" w:themeColor="text1"/>
          <w:lang w:val="en-GB"/>
        </w:rPr>
      </w:pPr>
      <w:r w:rsidRPr="0021736E">
        <w:rPr>
          <w:rFonts w:ascii="Calibri" w:hAnsi="Calibri" w:cs="Calibri"/>
          <w:color w:val="000000" w:themeColor="text1"/>
          <w:lang w:val="en-GB"/>
        </w:rPr>
        <w:t xml:space="preserve">Figure </w:t>
      </w:r>
      <w:proofErr w:type="spellStart"/>
      <w:r w:rsidRPr="0021736E">
        <w:rPr>
          <w:rFonts w:ascii="Calibri" w:hAnsi="Calibri" w:cs="Calibri"/>
          <w:color w:val="000000" w:themeColor="text1"/>
          <w:lang w:val="en-GB"/>
        </w:rPr>
        <w:t>E1</w:t>
      </w:r>
      <w:proofErr w:type="spellEnd"/>
      <w:r w:rsidRPr="0021736E">
        <w:rPr>
          <w:rFonts w:ascii="Calibri" w:hAnsi="Calibri" w:cs="Calibri"/>
          <w:color w:val="000000" w:themeColor="text1"/>
          <w:lang w:val="en-GB"/>
        </w:rPr>
        <w:t xml:space="preserve"> | The </w:t>
      </w:r>
      <w:bookmarkStart w:id="0" w:name="_Hlk34744566"/>
      <w:r w:rsidRPr="0021736E">
        <w:rPr>
          <w:rFonts w:ascii="Calibri" w:hAnsi="Calibri" w:cs="Calibri"/>
          <w:color w:val="000000" w:themeColor="text1"/>
          <w:lang w:val="en-GB"/>
        </w:rPr>
        <w:t xml:space="preserve">radar-charts </w:t>
      </w:r>
      <w:bookmarkEnd w:id="0"/>
      <w:r w:rsidRPr="0021736E">
        <w:rPr>
          <w:rFonts w:ascii="Calibri" w:hAnsi="Calibri" w:cs="Calibri"/>
          <w:color w:val="000000" w:themeColor="text1"/>
          <w:lang w:val="en-GB"/>
        </w:rPr>
        <w:t xml:space="preserve">display the ISU levels of four </w:t>
      </w:r>
      <w:proofErr w:type="spellStart"/>
      <w:r w:rsidRPr="0021736E">
        <w:rPr>
          <w:rFonts w:ascii="Calibri" w:hAnsi="Calibri" w:cs="Calibri"/>
          <w:color w:val="000000" w:themeColor="text1"/>
          <w:lang w:val="en-GB"/>
        </w:rPr>
        <w:t>ISAC</w:t>
      </w:r>
      <w:proofErr w:type="spellEnd"/>
      <w:r w:rsidRPr="0021736E">
        <w:rPr>
          <w:rFonts w:ascii="Calibri" w:hAnsi="Calibri" w:cs="Calibri"/>
          <w:color w:val="000000" w:themeColor="text1"/>
          <w:lang w:val="en-GB"/>
        </w:rPr>
        <w:t xml:space="preserve">-tested patients having 4 distinct clinical pictures. Two radar-charts are shown for each patient, encompassing all the molecules evaluated in the </w:t>
      </w:r>
      <w:proofErr w:type="spellStart"/>
      <w:r w:rsidRPr="0021736E">
        <w:rPr>
          <w:rFonts w:ascii="Calibri" w:hAnsi="Calibri" w:cs="Calibri"/>
          <w:color w:val="000000" w:themeColor="text1"/>
          <w:lang w:val="en-GB"/>
        </w:rPr>
        <w:t>ISAC</w:t>
      </w:r>
      <w:proofErr w:type="spellEnd"/>
      <w:r w:rsidRPr="0021736E">
        <w:rPr>
          <w:rFonts w:ascii="Calibri" w:hAnsi="Calibri" w:cs="Calibri"/>
          <w:color w:val="000000" w:themeColor="text1"/>
          <w:lang w:val="en-GB"/>
        </w:rPr>
        <w:t xml:space="preserve"> test. </w:t>
      </w:r>
    </w:p>
    <w:p w:rsidR="00A6611B" w:rsidRPr="0021736E" w:rsidRDefault="00A6611B" w:rsidP="00A6611B">
      <w:pPr>
        <w:pStyle w:val="StandardWeb"/>
        <w:spacing w:line="480" w:lineRule="auto"/>
        <w:ind w:firstLine="709"/>
        <w:rPr>
          <w:rFonts w:ascii="Calibri" w:hAnsi="Calibri" w:cs="Calibri"/>
          <w:color w:val="000000" w:themeColor="text1"/>
          <w:lang w:val="en-GB"/>
        </w:rPr>
      </w:pPr>
      <w:r w:rsidRPr="0021736E">
        <w:rPr>
          <w:rFonts w:ascii="Calibri" w:hAnsi="Calibri" w:cs="Calibri"/>
          <w:b/>
          <w:color w:val="000000" w:themeColor="text1"/>
          <w:lang w:val="en-GB"/>
        </w:rPr>
        <w:t xml:space="preserve">Table </w:t>
      </w:r>
      <w:proofErr w:type="spellStart"/>
      <w:r w:rsidRPr="0021736E">
        <w:rPr>
          <w:rFonts w:ascii="Calibri" w:hAnsi="Calibri" w:cs="Calibri"/>
          <w:b/>
          <w:color w:val="000000" w:themeColor="text1"/>
          <w:lang w:val="en-GB"/>
        </w:rPr>
        <w:t>E1</w:t>
      </w:r>
      <w:proofErr w:type="spellEnd"/>
      <w:r w:rsidRPr="0021736E">
        <w:rPr>
          <w:rFonts w:ascii="Calibri" w:hAnsi="Calibri" w:cs="Calibri"/>
          <w:color w:val="000000" w:themeColor="text1"/>
          <w:lang w:val="en-GB"/>
        </w:rPr>
        <w:t xml:space="preserve"> | Molecules directly (red) or inversely (green) associated with different clinical outcome </w:t>
      </w:r>
    </w:p>
    <w:p w:rsidR="00197C92" w:rsidRPr="00A6611B" w:rsidRDefault="00197C92">
      <w:pPr>
        <w:rPr>
          <w:lang w:val="en-GB"/>
        </w:rPr>
      </w:pPr>
      <w:bookmarkStart w:id="1" w:name="_GoBack"/>
      <w:bookmarkEnd w:id="1"/>
    </w:p>
    <w:sectPr w:rsidR="00197C92" w:rsidRPr="00A661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11B"/>
    <w:rsid w:val="00197C92"/>
    <w:rsid w:val="00A6611B"/>
    <w:rsid w:val="00C7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A91DF-AA11-4936-A530-A48A78F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6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2020-03-17T14:59:00Z</dcterms:created>
  <dcterms:modified xsi:type="dcterms:W3CDTF">2020-03-17T14:59:00Z</dcterms:modified>
</cp:coreProperties>
</file>