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A4" w:rsidRDefault="00F002A4" w:rsidP="00F002A4">
      <w:pPr>
        <w:spacing w:line="480" w:lineRule="auto"/>
        <w:rPr>
          <w:rFonts w:ascii="Arial" w:hAnsi="Arial" w:cs="Arial"/>
          <w:szCs w:val="21"/>
        </w:rPr>
      </w:pPr>
      <w:r w:rsidRPr="005628A5">
        <w:rPr>
          <w:rFonts w:ascii="DengXian" w:eastAsia="DengXian" w:hAnsi="DengXian" w:cs="SimSun"/>
          <w:b/>
          <w:bCs/>
          <w:color w:val="000000"/>
          <w:kern w:val="0"/>
          <w:sz w:val="22"/>
        </w:rPr>
        <w:t>Suppl.Fig.1</w:t>
      </w:r>
      <w:r>
        <w:rPr>
          <w:rFonts w:ascii="DengXian" w:eastAsia="DengXian" w:hAnsi="DengXian" w:cs="SimSun"/>
          <w:b/>
          <w:bCs/>
          <w:color w:val="000000"/>
          <w:kern w:val="0"/>
          <w:sz w:val="22"/>
        </w:rPr>
        <w:t xml:space="preserve"> </w:t>
      </w:r>
      <w:r w:rsidRPr="009F7D8D">
        <w:rPr>
          <w:rFonts w:ascii="Arial" w:hAnsi="Arial" w:cs="Arial"/>
          <w:szCs w:val="21"/>
        </w:rPr>
        <w:t>Kaplan-Meier and predicted survival plot of Cox regression. The predicted curve (predicted by the Cox regression) and observed curve</w:t>
      </w:r>
      <w:r>
        <w:rPr>
          <w:rFonts w:ascii="Arial" w:hAnsi="Arial" w:cs="Arial"/>
          <w:szCs w:val="21"/>
        </w:rPr>
        <w:t xml:space="preserve"> </w:t>
      </w:r>
      <w:r w:rsidRPr="009F7D8D">
        <w:rPr>
          <w:rFonts w:ascii="Arial" w:hAnsi="Arial" w:cs="Arial"/>
          <w:szCs w:val="21"/>
        </w:rPr>
        <w:t>(Kaplan-Meier curve) of each category of</w:t>
      </w:r>
      <w:r>
        <w:rPr>
          <w:rFonts w:ascii="Arial" w:hAnsi="Arial" w:cs="Arial"/>
          <w:szCs w:val="21"/>
        </w:rPr>
        <w:t xml:space="preserve"> ptosis </w:t>
      </w:r>
      <w:r w:rsidRPr="009F7D8D">
        <w:rPr>
          <w:rFonts w:ascii="Arial" w:hAnsi="Arial" w:cs="Arial"/>
          <w:szCs w:val="21"/>
        </w:rPr>
        <w:t xml:space="preserve">(‘No bilateral </w:t>
      </w:r>
      <w:r>
        <w:rPr>
          <w:rFonts w:ascii="Arial" w:hAnsi="Arial" w:cs="Arial"/>
          <w:szCs w:val="21"/>
        </w:rPr>
        <w:t>eye drop</w:t>
      </w:r>
      <w:r w:rsidRPr="009F7D8D">
        <w:rPr>
          <w:rFonts w:ascii="Arial" w:hAnsi="Arial" w:cs="Arial"/>
          <w:szCs w:val="21"/>
        </w:rPr>
        <w:t xml:space="preserve">’ and ‘Bilateral </w:t>
      </w:r>
      <w:r>
        <w:rPr>
          <w:rFonts w:ascii="Arial" w:hAnsi="Arial" w:cs="Arial"/>
          <w:szCs w:val="21"/>
        </w:rPr>
        <w:t>eye drop</w:t>
      </w:r>
      <w:r w:rsidRPr="009F7D8D">
        <w:rPr>
          <w:rFonts w:ascii="Arial" w:hAnsi="Arial" w:cs="Arial"/>
          <w:szCs w:val="21"/>
        </w:rPr>
        <w:t xml:space="preserve">’) were overlapped, which supported the </w:t>
      </w:r>
      <w:bookmarkStart w:id="0" w:name="_Hlk32945602"/>
      <w:r w:rsidRPr="009F7D8D">
        <w:rPr>
          <w:rFonts w:ascii="Arial" w:hAnsi="Arial" w:cs="Arial"/>
          <w:szCs w:val="21"/>
        </w:rPr>
        <w:t>proportional-hazards assumption</w:t>
      </w:r>
      <w:bookmarkEnd w:id="0"/>
      <w:r w:rsidRPr="009F7D8D">
        <w:rPr>
          <w:rFonts w:ascii="Arial" w:hAnsi="Arial" w:cs="Arial"/>
          <w:szCs w:val="21"/>
        </w:rPr>
        <w:t xml:space="preserve"> of Cox regression.</w:t>
      </w:r>
    </w:p>
    <w:p w:rsidR="003037C9" w:rsidRDefault="003037C9">
      <w:bookmarkStart w:id="1" w:name="_GoBack"/>
      <w:bookmarkEnd w:id="1"/>
    </w:p>
    <w:sectPr w:rsidR="00303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A4"/>
    <w:rsid w:val="003037C9"/>
    <w:rsid w:val="00F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A55EA-5EAF-43D1-9B77-13DB0B2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002A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2020-04-16T13:10:00Z</dcterms:created>
  <dcterms:modified xsi:type="dcterms:W3CDTF">2020-04-16T13:11:00Z</dcterms:modified>
</cp:coreProperties>
</file>