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5B0" w:rsidRPr="00F26063" w:rsidRDefault="00EA25B0" w:rsidP="00EA25B0">
      <w:pPr>
        <w:spacing w:line="480" w:lineRule="auto"/>
        <w:jc w:val="both"/>
        <w:rPr>
          <w:rFonts w:cstheme="minorHAnsi"/>
          <w:b/>
          <w:bCs/>
          <w:color w:val="000000" w:themeColor="text1"/>
          <w:lang w:val="en-US"/>
        </w:rPr>
      </w:pPr>
      <w:r w:rsidRPr="00F26063">
        <w:rPr>
          <w:rFonts w:cstheme="minorHAnsi"/>
          <w:color w:val="000000" w:themeColor="text1"/>
          <w:lang w:val="en-US"/>
        </w:rPr>
        <w:t>Supplement online 1</w:t>
      </w:r>
      <w:r w:rsidRPr="00F26063">
        <w:rPr>
          <w:rFonts w:cstheme="minorHAnsi"/>
          <w:b/>
          <w:bCs/>
          <w:color w:val="000000" w:themeColor="text1"/>
          <w:lang w:val="en-US"/>
        </w:rPr>
        <w:t xml:space="preserve">: </w:t>
      </w:r>
      <w:r w:rsidRPr="00F26063">
        <w:rPr>
          <w:rFonts w:cstheme="minorHAnsi"/>
          <w:color w:val="000000" w:themeColor="text1"/>
          <w:lang w:val="en-US"/>
        </w:rPr>
        <w:t>Baseline characteristics (unmatched analysis)</w:t>
      </w:r>
    </w:p>
    <w:tbl>
      <w:tblPr>
        <w:tblStyle w:val="Tabellenraster"/>
        <w:tblpPr w:leftFromText="141" w:rightFromText="141" w:vertAnchor="page" w:horzAnchor="margin" w:tblpY="1881"/>
        <w:tblW w:w="6232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992"/>
      </w:tblGrid>
      <w:tr w:rsidR="00EA25B0" w:rsidTr="00EA25B0">
        <w:tc>
          <w:tcPr>
            <w:tcW w:w="3085" w:type="dxa"/>
          </w:tcPr>
          <w:p w:rsidR="00EA25B0" w:rsidRPr="00EA25B0" w:rsidRDefault="00EA25B0" w:rsidP="00B21EB2">
            <w:pPr>
              <w:rPr>
                <w:lang w:val="en-US"/>
              </w:rPr>
            </w:pPr>
          </w:p>
        </w:tc>
        <w:tc>
          <w:tcPr>
            <w:tcW w:w="3147" w:type="dxa"/>
            <w:gridSpan w:val="3"/>
          </w:tcPr>
          <w:p w:rsidR="00EA25B0" w:rsidRDefault="00EA25B0" w:rsidP="00B21EB2">
            <w:pPr>
              <w:jc w:val="center"/>
            </w:pPr>
            <w:proofErr w:type="spellStart"/>
            <w:r>
              <w:t>Unadjusted</w:t>
            </w:r>
            <w:proofErr w:type="spellEnd"/>
            <w:r>
              <w:t xml:space="preserve"> Analysis</w:t>
            </w:r>
          </w:p>
        </w:tc>
      </w:tr>
      <w:tr w:rsidR="00EA25B0" w:rsidTr="00EA25B0">
        <w:tc>
          <w:tcPr>
            <w:tcW w:w="3085" w:type="dxa"/>
          </w:tcPr>
          <w:p w:rsidR="00EA25B0" w:rsidRDefault="00EA25B0" w:rsidP="00B21EB2"/>
        </w:tc>
        <w:tc>
          <w:tcPr>
            <w:tcW w:w="1134" w:type="dxa"/>
          </w:tcPr>
          <w:p w:rsidR="00EA25B0" w:rsidRDefault="00EA25B0" w:rsidP="00B21EB2">
            <w:r>
              <w:t>Short</w:t>
            </w:r>
          </w:p>
          <w:p w:rsidR="00EA25B0" w:rsidRDefault="00EA25B0" w:rsidP="00B21EB2">
            <w:r>
              <w:t>n= 321</w:t>
            </w:r>
          </w:p>
        </w:tc>
        <w:tc>
          <w:tcPr>
            <w:tcW w:w="1021" w:type="dxa"/>
          </w:tcPr>
          <w:p w:rsidR="00EA25B0" w:rsidRDefault="00EA25B0" w:rsidP="00B21EB2">
            <w:r>
              <w:t>Long</w:t>
            </w:r>
          </w:p>
          <w:p w:rsidR="00EA25B0" w:rsidRDefault="00EA25B0" w:rsidP="00B21EB2">
            <w:r>
              <w:t>n= 73</w:t>
            </w:r>
          </w:p>
        </w:tc>
        <w:tc>
          <w:tcPr>
            <w:tcW w:w="992" w:type="dxa"/>
          </w:tcPr>
          <w:p w:rsidR="00EA25B0" w:rsidRDefault="00EA25B0" w:rsidP="00B21EB2">
            <w:r>
              <w:t>P-Value</w:t>
            </w: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 w:rsidRPr="00DE50DC">
              <w:rPr>
                <w:lang w:val="en-US"/>
              </w:rPr>
              <w:t>Age (years)</w:t>
            </w:r>
            <w:r>
              <w:rPr>
                <w:lang w:val="en-US"/>
              </w:rPr>
              <w:t xml:space="preserve">, mean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SD  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 xml:space="preserve">71.1 </w:t>
            </w:r>
            <w:r>
              <w:rPr>
                <w:rFonts w:cstheme="minorHAnsi"/>
                <w:lang w:val="en-US"/>
              </w:rPr>
              <w:t>± 13.5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 xml:space="preserve">72.8 </w:t>
            </w:r>
            <w:r>
              <w:rPr>
                <w:rFonts w:cstheme="minorHAnsi"/>
                <w:lang w:val="en-US"/>
              </w:rPr>
              <w:t>± 14.9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0.154</w:t>
            </w: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 w:rsidRPr="00DE50DC">
              <w:rPr>
                <w:lang w:val="en-US"/>
              </w:rPr>
              <w:t>Sex (male)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165 (51.4%)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29 (39.7%)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0.072</w:t>
            </w: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 w:rsidRPr="00DE50DC">
              <w:rPr>
                <w:lang w:val="en-US"/>
              </w:rPr>
              <w:t>Arterial hypertension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0.269</w:t>
            </w: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bookmarkStart w:id="0" w:name="_GoBack"/>
            <w:bookmarkEnd w:id="0"/>
            <w:r w:rsidRPr="00DE50DC">
              <w:rPr>
                <w:lang w:val="en-US"/>
              </w:rPr>
              <w:t>Atrial fibrillation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0.810</w:t>
            </w: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 w:rsidRPr="00DE50DC">
              <w:rPr>
                <w:lang w:val="en-US"/>
              </w:rPr>
              <w:t>Diabetes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0.444</w:t>
            </w: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Coronary artery disease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0.245</w:t>
            </w: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Peripheral artery disease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Smoking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0.657</w:t>
            </w:r>
          </w:p>
        </w:tc>
      </w:tr>
      <w:tr w:rsidR="00EA25B0" w:rsidRPr="00DE50DC" w:rsidTr="00EA25B0">
        <w:tc>
          <w:tcPr>
            <w:tcW w:w="3085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Missing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 w:rsidRPr="00DE50DC">
              <w:rPr>
                <w:lang w:val="en-US"/>
              </w:rPr>
              <w:t>Baseline NIHSS</w:t>
            </w:r>
            <w:r>
              <w:rPr>
                <w:lang w:val="en-US"/>
              </w:rPr>
              <w:t xml:space="preserve">, mean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SD  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 xml:space="preserve">15.6 </w:t>
            </w:r>
            <w:r>
              <w:rPr>
                <w:rFonts w:cstheme="minorHAnsi"/>
                <w:lang w:val="en-US"/>
              </w:rPr>
              <w:t>± 7.6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 xml:space="preserve">16.8 </w:t>
            </w:r>
            <w:r>
              <w:rPr>
                <w:rFonts w:cstheme="minorHAnsi"/>
                <w:lang w:val="en-US"/>
              </w:rPr>
              <w:t>± 7.0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0.164</w:t>
            </w: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IVT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185 (57.6%)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35 (47.9%)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0.132</w:t>
            </w:r>
          </w:p>
        </w:tc>
      </w:tr>
      <w:tr w:rsidR="00EA25B0" w:rsidRPr="00DE50DC" w:rsidTr="00235BDC">
        <w:tc>
          <w:tcPr>
            <w:tcW w:w="5240" w:type="dxa"/>
            <w:gridSpan w:val="3"/>
          </w:tcPr>
          <w:p w:rsidR="00EA25B0" w:rsidRPr="00DE50DC" w:rsidRDefault="00EA25B0" w:rsidP="00B21EB2">
            <w:pPr>
              <w:rPr>
                <w:lang w:val="en-US"/>
              </w:rPr>
            </w:pPr>
            <w:r w:rsidRPr="00D62578">
              <w:rPr>
                <w:b/>
                <w:bCs/>
                <w:lang w:val="en-US"/>
              </w:rPr>
              <w:t>Occlusion site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0.004</w:t>
            </w: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ICA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40 (12.5%)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21 (28.8%)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M1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175 (54.4%)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39 (53.4%)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28 (8.7%)</w:t>
            </w:r>
          </w:p>
        </w:tc>
        <w:tc>
          <w:tcPr>
            <w:tcW w:w="1021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</w:p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(5.5%)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71 (22.1%)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9 (12.3%)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PCA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7 (2.2%)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0 (0%)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</w:p>
        </w:tc>
      </w:tr>
      <w:tr w:rsidR="00EA25B0" w:rsidRPr="00DE50DC" w:rsidTr="00884D25">
        <w:tc>
          <w:tcPr>
            <w:tcW w:w="5240" w:type="dxa"/>
            <w:gridSpan w:val="3"/>
          </w:tcPr>
          <w:p w:rsidR="00EA25B0" w:rsidRPr="00DE50DC" w:rsidRDefault="00EA25B0" w:rsidP="00B21EB2">
            <w:pPr>
              <w:rPr>
                <w:lang w:val="en-US"/>
              </w:rPr>
            </w:pPr>
            <w:r w:rsidRPr="00D62578">
              <w:rPr>
                <w:b/>
                <w:bCs/>
                <w:lang w:val="en-US"/>
              </w:rPr>
              <w:t>Stent Retriever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Trevo</w:t>
            </w:r>
            <w:proofErr w:type="spellEnd"/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117 (36.4%)</w:t>
            </w:r>
          </w:p>
        </w:tc>
        <w:tc>
          <w:tcPr>
            <w:tcW w:w="1021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</w:p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(9.6%)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</w:p>
        </w:tc>
      </w:tr>
      <w:tr w:rsidR="00EA25B0" w:rsidRPr="00DE50DC" w:rsidTr="00EA25B0">
        <w:tc>
          <w:tcPr>
            <w:tcW w:w="3085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Solitaire</w:t>
            </w:r>
          </w:p>
        </w:tc>
        <w:tc>
          <w:tcPr>
            <w:tcW w:w="1134" w:type="dxa"/>
          </w:tcPr>
          <w:p w:rsidR="00EA25B0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204 (63.6%)</w:t>
            </w:r>
          </w:p>
        </w:tc>
        <w:tc>
          <w:tcPr>
            <w:tcW w:w="1021" w:type="dxa"/>
          </w:tcPr>
          <w:p w:rsidR="00EA25B0" w:rsidRPr="00DE50DC" w:rsidRDefault="00EA25B0" w:rsidP="00B21EB2">
            <w:pPr>
              <w:rPr>
                <w:lang w:val="en-US"/>
              </w:rPr>
            </w:pPr>
            <w:r>
              <w:rPr>
                <w:lang w:val="en-US"/>
              </w:rPr>
              <w:t>66 (90.4%)</w:t>
            </w:r>
          </w:p>
        </w:tc>
        <w:tc>
          <w:tcPr>
            <w:tcW w:w="992" w:type="dxa"/>
          </w:tcPr>
          <w:p w:rsidR="00EA25B0" w:rsidRDefault="00EA25B0" w:rsidP="00B21EB2">
            <w:pPr>
              <w:rPr>
                <w:lang w:val="en-US"/>
              </w:rPr>
            </w:pPr>
          </w:p>
        </w:tc>
      </w:tr>
    </w:tbl>
    <w:p w:rsidR="0050204C" w:rsidRDefault="0050204C" w:rsidP="0050204C"/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EA25B0" w:rsidRDefault="00EA25B0" w:rsidP="0050204C">
      <w:pPr>
        <w:rPr>
          <w:lang w:val="en-US"/>
        </w:rPr>
      </w:pPr>
    </w:p>
    <w:p w:rsidR="00DF6820" w:rsidRPr="00B21EB2" w:rsidRDefault="00B21EB2" w:rsidP="0050204C">
      <w:pPr>
        <w:rPr>
          <w:lang w:val="en-US"/>
        </w:rPr>
      </w:pPr>
      <w:r w:rsidRPr="00B21EB2">
        <w:rPr>
          <w:lang w:val="en-US"/>
        </w:rPr>
        <w:t>BA</w:t>
      </w:r>
      <w:r>
        <w:rPr>
          <w:lang w:val="en-US"/>
        </w:rPr>
        <w:t xml:space="preserve">: basilar artery; </w:t>
      </w:r>
      <w:r w:rsidRPr="00B21EB2">
        <w:rPr>
          <w:lang w:val="en-US"/>
        </w:rPr>
        <w:t xml:space="preserve">ICA: internal carotid artery; </w:t>
      </w:r>
      <w:r>
        <w:rPr>
          <w:lang w:val="en-US"/>
        </w:rPr>
        <w:t xml:space="preserve">IVT: intravenous thrombolysis; NIHSS: </w:t>
      </w:r>
      <w:r>
        <w:rPr>
          <w:rFonts w:cstheme="minorHAnsi"/>
          <w:lang w:val="en-US"/>
        </w:rPr>
        <w:t>National Institutes of Health stroke scale;</w:t>
      </w:r>
      <w:r>
        <w:rPr>
          <w:lang w:val="en-US"/>
        </w:rPr>
        <w:t xml:space="preserve"> PCA: posterior cerebral artery; SD: standard deviation; </w:t>
      </w:r>
    </w:p>
    <w:p w:rsidR="00DF6820" w:rsidRPr="00B21EB2" w:rsidRDefault="00DF6820" w:rsidP="0050204C">
      <w:pPr>
        <w:rPr>
          <w:lang w:val="en-US"/>
        </w:rPr>
      </w:pPr>
    </w:p>
    <w:p w:rsidR="003C60DB" w:rsidRDefault="003C60DB" w:rsidP="0050204C">
      <w:pPr>
        <w:rPr>
          <w:lang w:val="en-US"/>
        </w:rPr>
      </w:pPr>
    </w:p>
    <w:p w:rsidR="003C60DB" w:rsidRDefault="003C60DB" w:rsidP="0050204C">
      <w:pPr>
        <w:rPr>
          <w:lang w:val="en-US"/>
        </w:rPr>
      </w:pPr>
    </w:p>
    <w:p w:rsidR="00893296" w:rsidRPr="00D62578" w:rsidRDefault="00AD139F" w:rsidP="00DF6820">
      <w:pPr>
        <w:rPr>
          <w:lang w:val="en-US"/>
        </w:rPr>
      </w:pPr>
    </w:p>
    <w:sectPr w:rsidR="00893296" w:rsidRPr="00D6257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4C"/>
    <w:rsid w:val="0003330F"/>
    <w:rsid w:val="00061818"/>
    <w:rsid w:val="000D6033"/>
    <w:rsid w:val="00195764"/>
    <w:rsid w:val="002059D9"/>
    <w:rsid w:val="00260451"/>
    <w:rsid w:val="002F675F"/>
    <w:rsid w:val="003C60DB"/>
    <w:rsid w:val="004B66C9"/>
    <w:rsid w:val="0050204C"/>
    <w:rsid w:val="006266A9"/>
    <w:rsid w:val="0072069F"/>
    <w:rsid w:val="00766770"/>
    <w:rsid w:val="00934F7D"/>
    <w:rsid w:val="00993E89"/>
    <w:rsid w:val="009D2C7D"/>
    <w:rsid w:val="00A11B23"/>
    <w:rsid w:val="00A519A6"/>
    <w:rsid w:val="00AD139F"/>
    <w:rsid w:val="00AF7618"/>
    <w:rsid w:val="00B21EB2"/>
    <w:rsid w:val="00D62578"/>
    <w:rsid w:val="00D92B33"/>
    <w:rsid w:val="00DF6820"/>
    <w:rsid w:val="00E5386D"/>
    <w:rsid w:val="00EA25B0"/>
    <w:rsid w:val="00F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E238"/>
  <w15:docId w15:val="{7A19D34F-7A99-D344-826D-060A5026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04C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204C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Hanna Styczen</cp:lastModifiedBy>
  <cp:revision>3</cp:revision>
  <dcterms:created xsi:type="dcterms:W3CDTF">2020-04-07T14:58:00Z</dcterms:created>
  <dcterms:modified xsi:type="dcterms:W3CDTF">2020-04-07T15:09:00Z</dcterms:modified>
</cp:coreProperties>
</file>