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1D2F3" w14:textId="15B5A536" w:rsidR="00823CDE" w:rsidRPr="004A2766" w:rsidRDefault="005C2793" w:rsidP="007E3D92">
      <w:pPr>
        <w:suppressLineNumbers/>
        <w:spacing w:after="120" w:line="360" w:lineRule="auto"/>
        <w:rPr>
          <w:rFonts w:ascii="Cambria" w:eastAsia="Times New Roman" w:hAnsi="Cambria"/>
          <w:b/>
          <w:bCs/>
          <w:color w:val="39A956"/>
          <w:sz w:val="26"/>
          <w:szCs w:val="26"/>
          <w:lang w:val="en-US" w:eastAsia="de-CH"/>
        </w:rPr>
      </w:pPr>
      <w:r>
        <w:rPr>
          <w:rFonts w:ascii="Cambria" w:eastAsia="Times New Roman" w:hAnsi="Cambria"/>
          <w:b/>
          <w:bCs/>
          <w:color w:val="000000"/>
          <w:sz w:val="26"/>
          <w:szCs w:val="26"/>
          <w:lang w:val="en-US" w:eastAsia="de-CH"/>
        </w:rPr>
        <w:t>Supplementary Materials</w:t>
      </w:r>
    </w:p>
    <w:p w14:paraId="2C3837CF" w14:textId="77777777" w:rsidR="005C2793" w:rsidRPr="005C2793" w:rsidRDefault="005C2793" w:rsidP="005C2793">
      <w:pPr>
        <w:spacing w:after="12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b/>
          <w:lang w:val="en-US" w:eastAsia="en-GB"/>
        </w:rPr>
        <w:t>Table S</w:t>
      </w:r>
      <w:r w:rsidRPr="005C2793">
        <w:rPr>
          <w:rFonts w:eastAsia="Times New Roman" w:hint="eastAsia"/>
          <w:b/>
          <w:lang w:val="en-US" w:eastAsia="en-GB"/>
        </w:rPr>
        <w:t>1</w:t>
      </w:r>
      <w:r w:rsidRPr="005C2793">
        <w:rPr>
          <w:rFonts w:eastAsia="Times New Roman"/>
          <w:b/>
          <w:lang w:val="en-US" w:eastAsia="en-GB"/>
        </w:rPr>
        <w:t xml:space="preserve">. </w:t>
      </w:r>
      <w:r w:rsidRPr="005C2793">
        <w:rPr>
          <w:rFonts w:eastAsia="Times New Roman"/>
          <w:lang w:val="en-US" w:eastAsia="en-GB"/>
        </w:rPr>
        <w:t xml:space="preserve">Patient characteristics </w:t>
      </w:r>
      <w:r w:rsidRPr="005C2793">
        <w:rPr>
          <w:rFonts w:eastAsia="Times New Roman"/>
          <w:vertAlign w:val="superscript"/>
          <w:lang w:val="en-US" w:eastAsia="en-GB"/>
        </w:rPr>
        <w:t>†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59"/>
        <w:gridCol w:w="1965"/>
        <w:gridCol w:w="1965"/>
        <w:gridCol w:w="1479"/>
      </w:tblGrid>
      <w:tr w:rsidR="005C2793" w:rsidRPr="005C2793" w14:paraId="31FB6750" w14:textId="77777777" w:rsidTr="005C2793">
        <w:trPr>
          <w:trHeight w:val="396"/>
        </w:trPr>
        <w:tc>
          <w:tcPr>
            <w:tcW w:w="208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C1DDC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ascii="MS Gothic" w:eastAsia="MS Gothic" w:hAnsi="MS Gothic" w:cs="MS Gothic" w:hint="eastAsia"/>
                <w:lang w:val="en-US" w:eastAsia="en-GB"/>
              </w:rPr>
              <w:t xml:space="preserve">　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663CD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Low-dose (20 mL) group (n=19)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38CF4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High-dose (100 mL) group (n=14)</w:t>
            </w:r>
          </w:p>
        </w:tc>
        <w:tc>
          <w:tcPr>
            <w:tcW w:w="79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73F7E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vertAlign w:val="superscript"/>
                <w:lang w:val="en-US" w:eastAsia="en-GB"/>
              </w:rPr>
              <w:t xml:space="preserve">‡ </w:t>
            </w:r>
            <w:r w:rsidRPr="005C2793">
              <w:rPr>
                <w:rFonts w:eastAsia="Times New Roman"/>
                <w:lang w:val="en-US" w:eastAsia="en-GB"/>
              </w:rPr>
              <w:t>p value</w:t>
            </w:r>
          </w:p>
        </w:tc>
      </w:tr>
      <w:tr w:rsidR="005C2793" w:rsidRPr="005C2793" w14:paraId="3E17AB54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399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Age in years [Median (Range)]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FAF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(5-12)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EC6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 (5-15)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369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0.706</w:t>
            </w:r>
          </w:p>
        </w:tc>
      </w:tr>
      <w:tr w:rsidR="005C2793" w:rsidRPr="005C2793" w14:paraId="3F9A01B3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993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Sex (M:F)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D6A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12:7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E3E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10:4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7B2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0.719</w:t>
            </w:r>
          </w:p>
        </w:tc>
      </w:tr>
      <w:tr w:rsidR="005C2793" w:rsidRPr="005C2793" w14:paraId="49E58252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0B5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Number of food allergens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D8B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(0-4</w:t>
            </w:r>
            <w:r w:rsidRPr="005C2793">
              <w:rPr>
                <w:rFonts w:eastAsia="Times New Roman" w:hint="eastAsia"/>
                <w:lang w:val="en-US" w:eastAsia="en-GB"/>
              </w:rPr>
              <w:t>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77F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 (0-9)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20F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0.397</w:t>
            </w:r>
          </w:p>
        </w:tc>
      </w:tr>
      <w:tr w:rsidR="005C2793" w:rsidRPr="005C2793" w14:paraId="2B74EFA9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59A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1 (only milk)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D620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011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3D0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0.397</w:t>
            </w:r>
          </w:p>
        </w:tc>
      </w:tr>
      <w:tr w:rsidR="005C2793" w:rsidRPr="005C2793" w14:paraId="25A49200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E4E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9EA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0DE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8C2C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</w:tr>
      <w:tr w:rsidR="005C2793" w:rsidRPr="005C2793" w14:paraId="7BE4372F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D7D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≥3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957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FD2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9865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</w:tr>
      <w:tr w:rsidR="005C2793" w:rsidRPr="005C2793" w14:paraId="736470F7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0D0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Other allergic disease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57E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FFB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4F0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</w:tr>
      <w:tr w:rsidR="005C2793" w:rsidRPr="005C2793" w14:paraId="09DE033B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EACE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Bronchial asthma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75B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44C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4DF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0.719</w:t>
            </w:r>
          </w:p>
        </w:tc>
      </w:tr>
      <w:tr w:rsidR="005C2793" w:rsidRPr="005C2793" w14:paraId="609E9668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A3A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Atopic dermatitis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565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16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354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A1D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</w:p>
        </w:tc>
      </w:tr>
      <w:tr w:rsidR="005C2793" w:rsidRPr="005C2793" w14:paraId="03881A62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F88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Allergic rhinitis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6B8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E5C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D54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0.728</w:t>
            </w:r>
          </w:p>
        </w:tc>
      </w:tr>
      <w:tr w:rsidR="005C2793" w:rsidRPr="005C2793" w14:paraId="642460B8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DD8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Allergic conjunctivitis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035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5B3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6BE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0.416</w:t>
            </w:r>
          </w:p>
        </w:tc>
      </w:tr>
      <w:tr w:rsidR="005C2793" w:rsidRPr="005C2793" w14:paraId="19B3812A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70F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OFC before OIT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CE8A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285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152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</w:tr>
      <w:tr w:rsidR="005C2793" w:rsidRPr="005C2793" w14:paraId="7CC24438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F5B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Final dose (mL)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001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1.5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(0.01-10)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678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 (0.1-10)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1CA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0.284</w:t>
            </w:r>
          </w:p>
        </w:tc>
      </w:tr>
      <w:tr w:rsidR="005C2793" w:rsidRPr="005C2793" w14:paraId="2D05B8A5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229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Laboratory data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B34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7C0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7B6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</w:tr>
      <w:tr w:rsidR="005C2793" w:rsidRPr="005C2793" w14:paraId="51EB5E8A" w14:textId="77777777" w:rsidTr="005C2793">
        <w:trPr>
          <w:trHeight w:val="493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5B7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Milk-specific </w:t>
            </w:r>
            <w:proofErr w:type="spellStart"/>
            <w:r w:rsidRPr="005C2793">
              <w:rPr>
                <w:rFonts w:eastAsia="Times New Roman"/>
                <w:b/>
                <w:bCs/>
                <w:lang w:val="en-US" w:eastAsia="en-GB"/>
              </w:rPr>
              <w:t>IgE</w:t>
            </w:r>
            <w:proofErr w:type="spellEnd"/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 </w:t>
            </w:r>
            <w:r w:rsidRPr="005C2793">
              <w:rPr>
                <w:rFonts w:eastAsia="Times New Roman" w:hint="eastAsia"/>
                <w:b/>
                <w:bCs/>
                <w:lang w:val="en-US" w:eastAsia="en-GB"/>
              </w:rPr>
              <w:t>(</w:t>
            </w:r>
            <w:r w:rsidRPr="005C2793">
              <w:rPr>
                <w:rFonts w:eastAsia="Times New Roman"/>
                <w:b/>
                <w:bCs/>
                <w:lang w:val="en-US" w:eastAsia="en-GB"/>
              </w:rPr>
              <w:t>U</w:t>
            </w:r>
            <w:r w:rsidRPr="005C2793">
              <w:rPr>
                <w:rFonts w:eastAsia="Times New Roman"/>
                <w:b/>
                <w:bCs/>
                <w:vertAlign w:val="subscript"/>
                <w:lang w:val="en-US" w:eastAsia="en-GB"/>
              </w:rPr>
              <w:t>A</w:t>
            </w:r>
            <w:r w:rsidRPr="005C2793">
              <w:rPr>
                <w:rFonts w:eastAsia="Times New Roman" w:hint="eastAsia"/>
                <w:b/>
                <w:bCs/>
                <w:lang w:val="en-US" w:eastAsia="en-GB"/>
              </w:rPr>
              <w:t>/</w:t>
            </w:r>
            <w:r w:rsidRPr="005C2793">
              <w:rPr>
                <w:rFonts w:eastAsia="Times New Roman"/>
                <w:b/>
                <w:bCs/>
                <w:lang w:val="en-US" w:eastAsia="en-GB"/>
              </w:rPr>
              <w:t>mL)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058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39.6 </w:t>
            </w:r>
            <w:r w:rsidRPr="005C2793">
              <w:rPr>
                <w:rFonts w:eastAsia="Times New Roman" w:hint="eastAsia"/>
                <w:lang w:val="en-US" w:eastAsia="en-GB"/>
              </w:rPr>
              <w:t>(</w:t>
            </w:r>
            <w:r w:rsidRPr="005C2793">
              <w:rPr>
                <w:rFonts w:eastAsia="Times New Roman"/>
                <w:lang w:val="en-US" w:eastAsia="en-GB"/>
              </w:rPr>
              <w:t>0.41-100)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A8B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28.9 </w:t>
            </w:r>
            <w:r w:rsidRPr="005C2793">
              <w:rPr>
                <w:rFonts w:eastAsia="Times New Roman" w:hint="eastAsia"/>
                <w:lang w:val="en-US" w:eastAsia="en-GB"/>
              </w:rPr>
              <w:t>(</w:t>
            </w:r>
            <w:r w:rsidRPr="005C2793">
              <w:rPr>
                <w:rFonts w:eastAsia="Times New Roman"/>
                <w:lang w:val="en-US" w:eastAsia="en-GB"/>
              </w:rPr>
              <w:t>2.61-84.7)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4A4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0.737</w:t>
            </w:r>
          </w:p>
        </w:tc>
      </w:tr>
      <w:tr w:rsidR="005C2793" w:rsidRPr="005C2793" w14:paraId="12A295B2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A38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Casein-specific </w:t>
            </w:r>
            <w:proofErr w:type="spellStart"/>
            <w:r w:rsidRPr="005C2793">
              <w:rPr>
                <w:rFonts w:eastAsia="Times New Roman"/>
                <w:b/>
                <w:bCs/>
                <w:lang w:val="en-US" w:eastAsia="en-GB"/>
              </w:rPr>
              <w:t>IgE</w:t>
            </w:r>
            <w:proofErr w:type="spellEnd"/>
            <w:r w:rsidRPr="005C2793">
              <w:rPr>
                <w:rFonts w:eastAsia="Times New Roman" w:hint="eastAsia"/>
                <w:b/>
                <w:bCs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b/>
                <w:bCs/>
                <w:lang w:val="en-US" w:eastAsia="en-GB"/>
              </w:rPr>
              <w:t>(U</w:t>
            </w:r>
            <w:r w:rsidRPr="005C2793">
              <w:rPr>
                <w:rFonts w:eastAsia="Times New Roman"/>
                <w:b/>
                <w:bCs/>
                <w:vertAlign w:val="subscript"/>
                <w:lang w:val="en-US" w:eastAsia="en-GB"/>
              </w:rPr>
              <w:t>A</w:t>
            </w:r>
            <w:r w:rsidRPr="005C2793">
              <w:rPr>
                <w:rFonts w:eastAsia="Times New Roman" w:hint="eastAsia"/>
                <w:b/>
                <w:bCs/>
                <w:lang w:val="en-US" w:eastAsia="en-GB"/>
              </w:rPr>
              <w:t>/</w:t>
            </w:r>
            <w:r w:rsidRPr="005C2793">
              <w:rPr>
                <w:rFonts w:eastAsia="Times New Roman"/>
                <w:b/>
                <w:bCs/>
                <w:lang w:val="en-US" w:eastAsia="en-GB"/>
              </w:rPr>
              <w:t>mL)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D6D1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45.6 </w:t>
            </w:r>
            <w:r w:rsidRPr="005C2793">
              <w:rPr>
                <w:rFonts w:eastAsia="Times New Roman" w:hint="eastAsia"/>
                <w:lang w:val="en-US" w:eastAsia="en-GB"/>
              </w:rPr>
              <w:t>(</w:t>
            </w:r>
            <w:r w:rsidRPr="005C2793">
              <w:rPr>
                <w:rFonts w:eastAsia="Times New Roman"/>
                <w:lang w:val="en-US" w:eastAsia="en-GB"/>
              </w:rPr>
              <w:t>0.45-100)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7B9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32.0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(16-100)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9D4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0.949</w:t>
            </w:r>
          </w:p>
        </w:tc>
      </w:tr>
      <w:tr w:rsidR="005C2793" w:rsidRPr="005C2793" w14:paraId="788A9178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58C88" w14:textId="6136A334" w:rsidR="005C2793" w:rsidRPr="00172F86" w:rsidRDefault="009426DC" w:rsidP="005C2793">
            <w:pPr>
              <w:spacing w:after="120" w:line="360" w:lineRule="auto"/>
              <w:rPr>
                <w:rFonts w:eastAsia="Times New Roman" w:cs="Calibri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β-</w:t>
            </w:r>
            <w:proofErr w:type="spellStart"/>
            <w:r w:rsidR="00172F86" w:rsidRPr="00172F86">
              <w:rPr>
                <w:rFonts w:cs="Calibri"/>
                <w:b/>
                <w:bCs/>
                <w:lang w:val="en-US" w:eastAsia="ja-JP"/>
              </w:rPr>
              <w:t>l</w:t>
            </w:r>
            <w:r w:rsidR="005C2793" w:rsidRPr="00172F86">
              <w:rPr>
                <w:rFonts w:eastAsia="Times New Roman" w:cs="Calibri"/>
                <w:b/>
                <w:bCs/>
                <w:lang w:val="en-US" w:eastAsia="en-GB"/>
              </w:rPr>
              <w:t>actoglobulin</w:t>
            </w:r>
            <w:proofErr w:type="spellEnd"/>
            <w:r w:rsidR="005C2793" w:rsidRPr="00172F86">
              <w:rPr>
                <w:rFonts w:eastAsia="Times New Roman" w:cs="Calibri"/>
                <w:b/>
                <w:bCs/>
                <w:lang w:val="en-US" w:eastAsia="en-GB"/>
              </w:rPr>
              <w:t xml:space="preserve">-specific </w:t>
            </w:r>
            <w:proofErr w:type="spellStart"/>
            <w:r w:rsidR="005C2793" w:rsidRPr="00172F86">
              <w:rPr>
                <w:rFonts w:eastAsia="Times New Roman" w:cs="Calibri"/>
                <w:b/>
                <w:bCs/>
                <w:lang w:val="en-US" w:eastAsia="en-GB"/>
              </w:rPr>
              <w:t>IgE</w:t>
            </w:r>
            <w:proofErr w:type="spellEnd"/>
            <w:r w:rsidR="005C2793" w:rsidRPr="00172F86">
              <w:rPr>
                <w:rFonts w:eastAsia="Times New Roman" w:cs="Calibri"/>
                <w:b/>
                <w:bCs/>
                <w:lang w:val="en-US" w:eastAsia="en-GB"/>
              </w:rPr>
              <w:t xml:space="preserve"> (U</w:t>
            </w:r>
            <w:r w:rsidR="005C2793" w:rsidRPr="00172F86">
              <w:rPr>
                <w:rFonts w:eastAsia="Times New Roman" w:cs="Calibri"/>
                <w:b/>
                <w:bCs/>
                <w:vertAlign w:val="subscript"/>
                <w:lang w:val="en-US" w:eastAsia="en-GB"/>
              </w:rPr>
              <w:t>A</w:t>
            </w:r>
            <w:r w:rsidR="005C2793" w:rsidRPr="00172F86">
              <w:rPr>
                <w:rFonts w:eastAsia="Times New Roman" w:cs="Calibri"/>
                <w:b/>
                <w:bCs/>
                <w:lang w:val="en-US" w:eastAsia="en-GB"/>
              </w:rPr>
              <w:t>/mL)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001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1.64 </w:t>
            </w:r>
            <w:r w:rsidRPr="005C2793">
              <w:rPr>
                <w:rFonts w:eastAsia="Times New Roman" w:hint="eastAsia"/>
                <w:lang w:val="en-US" w:eastAsia="en-GB"/>
              </w:rPr>
              <w:t>(</w:t>
            </w:r>
            <w:r w:rsidRPr="005C2793">
              <w:rPr>
                <w:rFonts w:eastAsia="Times New Roman"/>
                <w:lang w:val="en-US" w:eastAsia="en-GB"/>
              </w:rPr>
              <w:t>0.01-57.8)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658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2.88 </w:t>
            </w:r>
            <w:r w:rsidRPr="005C2793">
              <w:rPr>
                <w:rFonts w:eastAsia="Times New Roman" w:hint="eastAsia"/>
                <w:lang w:val="en-US" w:eastAsia="en-GB"/>
              </w:rPr>
              <w:t>(</w:t>
            </w:r>
            <w:r w:rsidRPr="005C2793">
              <w:rPr>
                <w:rFonts w:eastAsia="Times New Roman"/>
                <w:lang w:val="en-US" w:eastAsia="en-GB"/>
              </w:rPr>
              <w:t>0.15</w:t>
            </w:r>
            <w:r w:rsidRPr="005C2793">
              <w:rPr>
                <w:rFonts w:eastAsia="Times New Roman" w:hint="eastAsia"/>
                <w:lang w:val="en-US" w:eastAsia="en-GB"/>
              </w:rPr>
              <w:t>-</w:t>
            </w:r>
            <w:r w:rsidRPr="005C2793">
              <w:rPr>
                <w:rFonts w:eastAsia="Times New Roman"/>
                <w:lang w:val="en-US" w:eastAsia="en-GB"/>
              </w:rPr>
              <w:t>63.8)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972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0.384</w:t>
            </w:r>
          </w:p>
        </w:tc>
      </w:tr>
      <w:tr w:rsidR="005C2793" w:rsidRPr="005C2793" w14:paraId="580E5507" w14:textId="77777777" w:rsidTr="005C2793">
        <w:trPr>
          <w:trHeight w:val="396"/>
        </w:trPr>
        <w:tc>
          <w:tcPr>
            <w:tcW w:w="20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FBA98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Milk prick test</w:t>
            </w:r>
            <w:r w:rsidRPr="005C2793">
              <w:rPr>
                <w:rFonts w:eastAsia="Times New Roman" w:hint="eastAsia"/>
                <w:b/>
                <w:bCs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b/>
                <w:bCs/>
                <w:lang w:val="en-US" w:eastAsia="en-GB"/>
              </w:rPr>
              <w:t>(mm)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A42A9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10 </w:t>
            </w:r>
            <w:r w:rsidRPr="005C2793">
              <w:rPr>
                <w:rFonts w:eastAsia="Times New Roman" w:hint="eastAsia"/>
                <w:lang w:val="en-US" w:eastAsia="en-GB"/>
              </w:rPr>
              <w:t>(</w:t>
            </w:r>
            <w:r w:rsidRPr="005C2793">
              <w:rPr>
                <w:rFonts w:eastAsia="Times New Roman"/>
                <w:lang w:val="en-US" w:eastAsia="en-GB"/>
              </w:rPr>
              <w:t>6.5-21)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01B3E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12.5 </w:t>
            </w:r>
            <w:r w:rsidRPr="005C2793">
              <w:rPr>
                <w:rFonts w:eastAsia="Times New Roman" w:hint="eastAsia"/>
                <w:lang w:val="en-US" w:eastAsia="en-GB"/>
              </w:rPr>
              <w:t>(</w:t>
            </w:r>
            <w:r w:rsidRPr="005C2793">
              <w:rPr>
                <w:rFonts w:eastAsia="Times New Roman"/>
                <w:lang w:val="en-US" w:eastAsia="en-GB"/>
              </w:rPr>
              <w:t>8-18.5)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5F536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0.463</w:t>
            </w:r>
          </w:p>
        </w:tc>
      </w:tr>
    </w:tbl>
    <w:p w14:paraId="38E0CE80" w14:textId="77777777" w:rsidR="005C2793" w:rsidRP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lang w:val="en-US" w:eastAsia="en-GB"/>
        </w:rPr>
        <w:t>OFC, oral food challenge test; OIT, oral immunotherapy</w:t>
      </w:r>
    </w:p>
    <w:p w14:paraId="235EDFFD" w14:textId="77777777" w:rsidR="005C2793" w:rsidRP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vertAlign w:val="superscript"/>
          <w:lang w:val="en-US" w:eastAsia="en-GB"/>
        </w:rPr>
        <w:t xml:space="preserve">† </w:t>
      </w:r>
      <w:r w:rsidRPr="005C2793">
        <w:rPr>
          <w:rFonts w:eastAsia="Times New Roman"/>
          <w:lang w:val="en-US" w:eastAsia="en-GB"/>
        </w:rPr>
        <w:t>Data on age, final dose, and laboratory findings are presented as the median and range.</w:t>
      </w:r>
    </w:p>
    <w:p w14:paraId="4C48327B" w14:textId="77777777" w:rsid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  <w:sectPr w:rsidR="005C2793" w:rsidSect="00291011"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5C2793">
        <w:rPr>
          <w:rFonts w:eastAsia="Times New Roman"/>
          <w:vertAlign w:val="superscript"/>
          <w:lang w:val="en-US" w:eastAsia="en-GB"/>
        </w:rPr>
        <w:t xml:space="preserve">‡ </w:t>
      </w:r>
      <w:r w:rsidRPr="005C2793">
        <w:rPr>
          <w:rFonts w:eastAsia="Times New Roman"/>
          <w:lang w:val="en-US" w:eastAsia="en-GB"/>
        </w:rPr>
        <w:t xml:space="preserve">Statistically significant differences were assessed using Mann-Whitney U tests, </w:t>
      </w:r>
      <w:bookmarkStart w:id="0" w:name="_Hlk3033076"/>
      <w:r w:rsidRPr="005C2793">
        <w:rPr>
          <w:rFonts w:eastAsia="Times New Roman"/>
          <w:lang w:val="en-US" w:eastAsia="en-GB"/>
        </w:rPr>
        <w:t>Fisher’s exact test</w:t>
      </w:r>
      <w:bookmarkEnd w:id="0"/>
      <w:r w:rsidRPr="005C2793">
        <w:rPr>
          <w:rFonts w:eastAsia="Times New Roman"/>
          <w:lang w:val="en-US" w:eastAsia="en-GB"/>
        </w:rPr>
        <w:t>, or Chi squared (χ</w:t>
      </w:r>
      <w:r w:rsidRPr="005C2793">
        <w:rPr>
          <w:rFonts w:eastAsia="Times New Roman"/>
          <w:vertAlign w:val="superscript"/>
          <w:lang w:val="en-US" w:eastAsia="en-GB"/>
        </w:rPr>
        <w:t>2</w:t>
      </w:r>
      <w:r w:rsidRPr="005C2793">
        <w:rPr>
          <w:rFonts w:eastAsia="Times New Roman"/>
          <w:lang w:val="en-US" w:eastAsia="en-GB"/>
        </w:rPr>
        <w:t xml:space="preserve">) test. </w:t>
      </w:r>
      <w:r w:rsidRPr="005C2793">
        <w:rPr>
          <w:rFonts w:eastAsia="Times New Roman"/>
          <w:i/>
          <w:lang w:val="en-US" w:eastAsia="en-GB"/>
        </w:rPr>
        <w:t xml:space="preserve">p </w:t>
      </w:r>
      <w:r w:rsidRPr="005C2793">
        <w:rPr>
          <w:rFonts w:eastAsia="Times New Roman"/>
          <w:lang w:val="en-US" w:eastAsia="en-GB"/>
        </w:rPr>
        <w:t>&lt;0.05 was considered statistically significant.</w:t>
      </w:r>
      <w:r>
        <w:rPr>
          <w:rFonts w:eastAsia="Times New Roman"/>
          <w:lang w:val="en-US" w:eastAsia="en-GB"/>
        </w:rPr>
        <w:t xml:space="preserve"> </w:t>
      </w:r>
    </w:p>
    <w:p w14:paraId="5C6F56D7" w14:textId="284DD098" w:rsidR="005C2793" w:rsidRPr="005C2793" w:rsidRDefault="005C2793" w:rsidP="005C2793">
      <w:pPr>
        <w:spacing w:after="12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b/>
          <w:lang w:val="en-US" w:eastAsia="en-GB"/>
        </w:rPr>
        <w:lastRenderedPageBreak/>
        <w:t>Table S</w:t>
      </w:r>
      <w:r w:rsidRPr="005C2793">
        <w:rPr>
          <w:rFonts w:eastAsia="Times New Roman" w:hint="eastAsia"/>
          <w:b/>
          <w:lang w:val="en-US" w:eastAsia="en-GB"/>
        </w:rPr>
        <w:t>2</w:t>
      </w:r>
      <w:r w:rsidRPr="005C2793">
        <w:rPr>
          <w:rFonts w:eastAsia="Times New Roman"/>
          <w:b/>
          <w:lang w:val="en-US" w:eastAsia="en-GB"/>
        </w:rPr>
        <w:t>.</w:t>
      </w:r>
      <w:r w:rsidRPr="005C2793">
        <w:rPr>
          <w:rFonts w:eastAsia="Times New Roman"/>
          <w:lang w:val="en-US" w:eastAsia="en-GB"/>
        </w:rPr>
        <w:t xml:space="preserve"> Age, sex, and the final dose and symptom scores in the open milk challenge tests before and after treatment in the low-dose (20 mL) group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"/>
        <w:gridCol w:w="982"/>
        <w:gridCol w:w="776"/>
        <w:gridCol w:w="1492"/>
        <w:gridCol w:w="2387"/>
        <w:gridCol w:w="1874"/>
        <w:gridCol w:w="1874"/>
        <w:gridCol w:w="1364"/>
        <w:gridCol w:w="2723"/>
      </w:tblGrid>
      <w:tr w:rsidR="00AF4BD9" w:rsidRPr="005C2793" w14:paraId="17E1E453" w14:textId="77777777" w:rsidTr="005C2793">
        <w:trPr>
          <w:trHeight w:val="276"/>
        </w:trPr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6F7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Patient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F22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Age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E1FD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Sex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C0B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Before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1F9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ascii="MS Gothic" w:eastAsia="MS Gothic" w:hAnsi="MS Gothic" w:cs="MS Gothic" w:hint="eastAsia"/>
                <w:b/>
                <w:bCs/>
                <w:lang w:val="en-US" w:eastAsia="en-GB"/>
              </w:rPr>
              <w:t xml:space="preserve">　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AB7A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OIT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77E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ascii="MS Gothic" w:eastAsia="MS Gothic" w:hAnsi="MS Gothic" w:cs="MS Gothic" w:hint="eastAsia"/>
                <w:lang w:val="en-US" w:eastAsia="en-GB"/>
              </w:rPr>
              <w:t xml:space="preserve">　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8CB0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After</w:t>
            </w:r>
          </w:p>
        </w:tc>
      </w:tr>
      <w:tr w:rsidR="00AF4BD9" w:rsidRPr="005C2793" w14:paraId="38D83331" w14:textId="77777777" w:rsidTr="005C2793">
        <w:trPr>
          <w:trHeight w:val="612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05A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No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34F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(years)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F730D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96FA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Final dose (mL)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922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Symptom scores </w:t>
            </w:r>
            <w:r w:rsidRPr="005C2793">
              <w:rPr>
                <w:rFonts w:eastAsia="Times New Roman"/>
                <w:vertAlign w:val="superscript"/>
                <w:lang w:val="en-US" w:eastAsia="en-GB"/>
              </w:rPr>
              <w:t>†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C509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Maintenance dose at the end of escalation phase (mL)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B63D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Maintenance dose end of OIT (mL)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7D3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Final dose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B34D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Symptom scores </w:t>
            </w:r>
            <w:r w:rsidRPr="005C2793">
              <w:rPr>
                <w:rFonts w:eastAsia="Times New Roman"/>
                <w:vertAlign w:val="superscript"/>
                <w:lang w:val="en-US" w:eastAsia="en-GB"/>
              </w:rPr>
              <w:t>†</w:t>
            </w:r>
          </w:p>
        </w:tc>
      </w:tr>
      <w:tr w:rsidR="00AF4BD9" w:rsidRPr="005C2793" w14:paraId="381FB147" w14:textId="77777777" w:rsidTr="005C2793">
        <w:trPr>
          <w:trHeight w:val="828"/>
        </w:trPr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0B31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ascii="MS Gothic" w:eastAsia="MS Gothic" w:hAnsi="MS Gothic" w:cs="MS Gothic" w:hint="eastAsia"/>
                <w:lang w:val="en-US" w:eastAsia="en-GB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386D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ascii="MS Gothic" w:eastAsia="MS Gothic" w:hAnsi="MS Gothic" w:cs="MS Gothic" w:hint="eastAsia"/>
                <w:lang w:val="en-US" w:eastAsia="en-GB"/>
              </w:rPr>
              <w:t xml:space="preserve">　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67FDB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5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7DC7C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6C76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(according to Ref </w:t>
            </w:r>
            <w:r w:rsidRPr="005C2793">
              <w:rPr>
                <w:rFonts w:eastAsia="Times New Roman" w:hint="eastAsia"/>
                <w:lang w:val="en-US" w:eastAsia="en-GB"/>
              </w:rPr>
              <w:t>1</w:t>
            </w:r>
            <w:r w:rsidRPr="005C2793">
              <w:rPr>
                <w:rFonts w:eastAsia="Times New Roman"/>
                <w:lang w:val="en-US" w:eastAsia="en-GB"/>
              </w:rPr>
              <w:t>)</w:t>
            </w:r>
          </w:p>
        </w:tc>
        <w:tc>
          <w:tcPr>
            <w:tcW w:w="6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FDBD7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6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5B989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A930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 (mL)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7652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(according to Ref </w:t>
            </w:r>
            <w:r w:rsidRPr="005C2793">
              <w:rPr>
                <w:rFonts w:eastAsia="Times New Roman" w:hint="eastAsia"/>
                <w:lang w:val="en-US" w:eastAsia="en-GB"/>
              </w:rPr>
              <w:t>1</w:t>
            </w:r>
            <w:r w:rsidRPr="005C2793">
              <w:rPr>
                <w:rFonts w:eastAsia="Times New Roman"/>
                <w:lang w:val="en-US" w:eastAsia="en-GB"/>
              </w:rPr>
              <w:t>)</w:t>
            </w:r>
          </w:p>
        </w:tc>
      </w:tr>
      <w:tr w:rsidR="00AF4BD9" w:rsidRPr="005C2793" w14:paraId="1F521A3E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C82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9EC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99A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6A1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27C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G(1)R(2)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E51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ACF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803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44F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S(2)R(3)C(3)</w:t>
            </w:r>
          </w:p>
        </w:tc>
      </w:tr>
      <w:tr w:rsidR="00AF4BD9" w:rsidRPr="005C2793" w14:paraId="737C792E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73D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91B1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954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65F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A69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D91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AA0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20C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B35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</w:tr>
      <w:tr w:rsidR="00AF4BD9" w:rsidRPr="005C2793" w14:paraId="5926E417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D2B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C42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91F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A39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E98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4AF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A42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2B2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C0E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</w:t>
            </w:r>
          </w:p>
        </w:tc>
      </w:tr>
      <w:tr w:rsidR="00AF4BD9" w:rsidRPr="005C2793" w14:paraId="2EC0F989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35B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EAB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74C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D6C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286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7D7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397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1C7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D3D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S(1) </w:t>
            </w:r>
          </w:p>
        </w:tc>
      </w:tr>
      <w:tr w:rsidR="00AF4BD9" w:rsidRPr="005C2793" w14:paraId="02883473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C9B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869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142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69C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949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S(2)R(2)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3F9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82C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275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478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</w:tr>
      <w:tr w:rsidR="00AF4BD9" w:rsidRPr="005C2793" w14:paraId="1F83AE0E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DAB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A95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DBF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F07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0B1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G(1)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951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CF6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393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ND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156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ND</w:t>
            </w:r>
          </w:p>
        </w:tc>
      </w:tr>
      <w:tr w:rsidR="00AF4BD9" w:rsidRPr="005C2793" w14:paraId="754049B3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0F9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D98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A3F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23B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9C9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0B6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FB6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C86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034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</w:t>
            </w:r>
          </w:p>
        </w:tc>
      </w:tr>
      <w:tr w:rsidR="00AF4BD9" w:rsidRPr="005C2793" w14:paraId="4797DF32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5DE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175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B1C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460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541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S(2)G(2)R(2)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ABE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E4A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B5B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AED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R(2)</w:t>
            </w:r>
          </w:p>
        </w:tc>
      </w:tr>
      <w:tr w:rsidR="00AF4BD9" w:rsidRPr="005C2793" w14:paraId="5B3E2E9A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556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70B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B7D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4B6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0.01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E8D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G(3)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56F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6FD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2A3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CEF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S(2)G(1)</w:t>
            </w:r>
          </w:p>
        </w:tc>
      </w:tr>
      <w:tr w:rsidR="00AF4BD9" w:rsidRPr="005C2793" w14:paraId="117E18BB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A55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4F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3A7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EAA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F97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S(2)G(2)R(2)C(4)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FF5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F17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163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F7B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S(2)G</w:t>
            </w:r>
            <w:r w:rsidRPr="005C2793">
              <w:rPr>
                <w:rFonts w:ascii="MS Gothic" w:eastAsia="MS Gothic" w:hAnsi="MS Gothic" w:cs="MS Gothic" w:hint="eastAsia"/>
                <w:lang w:val="en-US" w:eastAsia="en-GB"/>
              </w:rPr>
              <w:t>（</w:t>
            </w:r>
            <w:r w:rsidRPr="005C2793">
              <w:rPr>
                <w:rFonts w:eastAsia="Times New Roman"/>
                <w:lang w:val="en-US" w:eastAsia="en-GB"/>
              </w:rPr>
              <w:t>2</w:t>
            </w:r>
            <w:r w:rsidRPr="005C2793">
              <w:rPr>
                <w:rFonts w:ascii="MS Gothic" w:eastAsia="MS Gothic" w:hAnsi="MS Gothic" w:cs="MS Gothic" w:hint="eastAsia"/>
                <w:lang w:val="en-US" w:eastAsia="en-GB"/>
              </w:rPr>
              <w:t>）</w:t>
            </w:r>
            <w:r w:rsidRPr="005C2793">
              <w:rPr>
                <w:rFonts w:eastAsia="Times New Roman"/>
                <w:lang w:val="en-US" w:eastAsia="en-GB"/>
              </w:rPr>
              <w:t>R(3)</w:t>
            </w:r>
          </w:p>
        </w:tc>
      </w:tr>
      <w:tr w:rsidR="00AF4BD9" w:rsidRPr="005C2793" w14:paraId="1ACD2B60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763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928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965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87A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FC0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G(1)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C93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756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1D1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228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</w:tr>
      <w:tr w:rsidR="00AF4BD9" w:rsidRPr="005C2793" w14:paraId="479E0900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BA4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lastRenderedPageBreak/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C6D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AF5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C3B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198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R(2)C(3)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312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683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68B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00A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S(2)R(3)</w:t>
            </w:r>
          </w:p>
        </w:tc>
      </w:tr>
      <w:tr w:rsidR="00AF4BD9" w:rsidRPr="005C2793" w14:paraId="480D2B7C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0D2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8E4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E07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DE0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520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R(2)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220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E6F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7B8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FC5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R(2)</w:t>
            </w:r>
          </w:p>
        </w:tc>
      </w:tr>
      <w:tr w:rsidR="00AF4BD9" w:rsidRPr="005C2793" w14:paraId="3E650C10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0F6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0C8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50E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1D1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DBC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S(1)G(1)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A57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418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076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82F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R(2)</w:t>
            </w:r>
          </w:p>
        </w:tc>
      </w:tr>
      <w:tr w:rsidR="00AF4BD9" w:rsidRPr="005C2793" w14:paraId="688270A6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87B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89B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071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67E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CAE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2D7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427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CDA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AA1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</w:tr>
      <w:tr w:rsidR="00AF4BD9" w:rsidRPr="005C2793" w14:paraId="0B84874B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7BE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207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3D1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565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863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R(3)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F00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E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EC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361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R(2)</w:t>
            </w:r>
          </w:p>
        </w:tc>
      </w:tr>
      <w:tr w:rsidR="00AF4BD9" w:rsidRPr="005C2793" w14:paraId="36718C3C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FC8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587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530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005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EAA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S(2)G(1)R(1)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0B7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066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9BA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CBB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S(2)R(2)</w:t>
            </w:r>
          </w:p>
        </w:tc>
      </w:tr>
      <w:tr w:rsidR="00AF4BD9" w:rsidRPr="005C2793" w14:paraId="424EC5BF" w14:textId="77777777" w:rsidTr="005C2793">
        <w:trPr>
          <w:trHeight w:val="276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BD7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D4F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1E8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205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C11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33A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577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939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475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S(1)R(2)</w:t>
            </w:r>
          </w:p>
        </w:tc>
      </w:tr>
      <w:tr w:rsidR="00AF4BD9" w:rsidRPr="005C2793" w14:paraId="7130591B" w14:textId="77777777" w:rsidTr="005C2793">
        <w:trPr>
          <w:trHeight w:val="288"/>
        </w:trPr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14D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E526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22E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3B8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747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E216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4BDD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3E2E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47A9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</w:tr>
    </w:tbl>
    <w:p w14:paraId="70BCD5BB" w14:textId="77777777" w:rsidR="005C2793" w:rsidRP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lang w:val="en-US" w:eastAsia="en-GB"/>
        </w:rPr>
        <w:t>OIT, oral immunotherapy; ND, not done</w:t>
      </w:r>
    </w:p>
    <w:p w14:paraId="685E9BAA" w14:textId="63E2951C" w:rsidR="005C2793" w:rsidRPr="005C2793" w:rsidRDefault="005C2793" w:rsidP="005C2793">
      <w:pPr>
        <w:spacing w:after="0" w:line="360" w:lineRule="auto"/>
        <w:rPr>
          <w:rFonts w:eastAsia="Times New Roman"/>
          <w:b/>
          <w:lang w:val="en-US" w:eastAsia="en-GB"/>
        </w:rPr>
      </w:pPr>
      <w:r w:rsidRPr="005C2793">
        <w:rPr>
          <w:rFonts w:eastAsia="Times New Roman"/>
          <w:vertAlign w:val="superscript"/>
          <w:lang w:val="en-US" w:eastAsia="en-GB"/>
        </w:rPr>
        <w:t>†</w:t>
      </w:r>
      <w:r w:rsidRPr="005C2793">
        <w:rPr>
          <w:rFonts w:eastAsia="Times New Roman"/>
          <w:lang w:val="en-US" w:eastAsia="en-GB"/>
        </w:rPr>
        <w:t xml:space="preserve"> Symptom scores indicate the regions of reaction (</w:t>
      </w:r>
      <w:bookmarkStart w:id="1" w:name="_Hlk428781"/>
      <w:r w:rsidRPr="005C2793">
        <w:rPr>
          <w:rFonts w:eastAsia="Times New Roman"/>
          <w:lang w:val="en-US" w:eastAsia="en-GB"/>
        </w:rPr>
        <w:t>S, skin symptoms; G, gastrointestinal tract symptoms; R, respiratory tract symptoms; C, cardiovascular symptoms; N, neurological symptoms</w:t>
      </w:r>
      <w:bookmarkEnd w:id="1"/>
      <w:r w:rsidRPr="005C2793">
        <w:rPr>
          <w:rFonts w:eastAsia="Times New Roman"/>
          <w:lang w:val="en-US" w:eastAsia="en-GB"/>
        </w:rPr>
        <w:t>) and severity grades (1–5) according to the modified Sampson’s anaphylaxis grades in the Japanese Pediatric Guideline for Food Allergy 2012 [1]. The results of the challenge were determined by a doctor. Patient number</w:t>
      </w:r>
      <w:r w:rsidRPr="005C2793">
        <w:rPr>
          <w:rFonts w:eastAsia="Times New Roman" w:hint="eastAsia"/>
          <w:lang w:val="en-US" w:eastAsia="en-GB"/>
        </w:rPr>
        <w:t xml:space="preserve"> 7 </w:t>
      </w:r>
      <w:r w:rsidRPr="005C2793">
        <w:rPr>
          <w:rFonts w:eastAsia="Times New Roman"/>
          <w:lang w:val="en-US" w:eastAsia="en-GB"/>
        </w:rPr>
        <w:t>refused intake of more than 20 ml in the milk challenge test after OIT.</w:t>
      </w:r>
    </w:p>
    <w:p w14:paraId="5C6C6A08" w14:textId="77777777" w:rsidR="005C2793" w:rsidRDefault="005C2793" w:rsidP="005C2793">
      <w:pPr>
        <w:spacing w:after="120" w:line="360" w:lineRule="auto"/>
        <w:rPr>
          <w:rFonts w:eastAsia="Times New Roman"/>
          <w:b/>
          <w:lang w:val="en-US" w:eastAsia="en-GB"/>
        </w:rPr>
        <w:sectPr w:rsidR="005C2793" w:rsidSect="005C2793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1086B435" w14:textId="067F4AFC" w:rsidR="005C2793" w:rsidRPr="005C2793" w:rsidRDefault="005C2793" w:rsidP="005C2793">
      <w:pPr>
        <w:spacing w:after="12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b/>
          <w:lang w:val="en-US" w:eastAsia="en-GB"/>
        </w:rPr>
        <w:lastRenderedPageBreak/>
        <w:t>Table S</w:t>
      </w:r>
      <w:r w:rsidRPr="005C2793">
        <w:rPr>
          <w:rFonts w:eastAsia="Times New Roman" w:hint="eastAsia"/>
          <w:b/>
          <w:lang w:val="en-US" w:eastAsia="en-GB"/>
        </w:rPr>
        <w:t>3</w:t>
      </w:r>
      <w:r w:rsidRPr="005C2793">
        <w:rPr>
          <w:rFonts w:eastAsia="Times New Roman"/>
          <w:b/>
          <w:lang w:val="en-US" w:eastAsia="en-GB"/>
        </w:rPr>
        <w:t>.</w:t>
      </w:r>
      <w:r w:rsidRPr="005C2793">
        <w:rPr>
          <w:rFonts w:eastAsia="Times New Roman"/>
          <w:lang w:val="en-US" w:eastAsia="en-GB"/>
        </w:rPr>
        <w:t xml:space="preserve"> Age, sex, and the final dose and symptom scores in the open milk challenge tests before and after treatment in the high-dose (</w:t>
      </w:r>
      <w:r w:rsidRPr="005C2793">
        <w:rPr>
          <w:rFonts w:eastAsia="Times New Roman" w:hint="eastAsia"/>
          <w:lang w:val="en-US" w:eastAsia="en-GB"/>
        </w:rPr>
        <w:t>100</w:t>
      </w:r>
      <w:r w:rsidRPr="005C2793">
        <w:rPr>
          <w:rFonts w:eastAsia="Times New Roman"/>
          <w:lang w:val="en-US" w:eastAsia="en-GB"/>
        </w:rPr>
        <w:t xml:space="preserve"> mL) group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470"/>
        <w:gridCol w:w="2228"/>
        <w:gridCol w:w="1883"/>
        <w:gridCol w:w="1883"/>
        <w:gridCol w:w="1469"/>
        <w:gridCol w:w="2245"/>
      </w:tblGrid>
      <w:tr w:rsidR="005C2793" w:rsidRPr="005C2793" w14:paraId="1B7E4542" w14:textId="77777777" w:rsidTr="005C2793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1AD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Patient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604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Age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903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Sex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505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Before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43A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ascii="MS Gothic" w:eastAsia="MS Gothic" w:hAnsi="MS Gothic" w:cs="MS Gothic" w:hint="eastAsia"/>
                <w:b/>
                <w:bCs/>
                <w:lang w:val="en-US" w:eastAsia="en-GB"/>
              </w:rPr>
              <w:t xml:space="preserve">　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9D7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OIT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77E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ascii="MS Gothic" w:eastAsia="MS Gothic" w:hAnsi="MS Gothic" w:cs="MS Gothic" w:hint="eastAsia"/>
                <w:lang w:val="en-US" w:eastAsia="en-GB"/>
              </w:rPr>
              <w:t xml:space="preserve">　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0112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After</w:t>
            </w:r>
          </w:p>
        </w:tc>
      </w:tr>
      <w:tr w:rsidR="005C2793" w:rsidRPr="005C2793" w14:paraId="795C7AF5" w14:textId="77777777" w:rsidTr="005C2793">
        <w:trPr>
          <w:trHeight w:val="612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3AAC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57C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(years)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4468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DC2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Final dose (</w:t>
            </w:r>
            <w:r w:rsidRPr="005C2793">
              <w:rPr>
                <w:rFonts w:eastAsia="Times New Roman" w:hint="eastAsia"/>
                <w:lang w:val="en-US" w:eastAsia="en-GB"/>
              </w:rPr>
              <w:t>mL</w:t>
            </w:r>
            <w:r w:rsidRPr="005C2793">
              <w:rPr>
                <w:rFonts w:eastAsia="Times New Roman"/>
                <w:lang w:val="en-US" w:eastAsia="en-GB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95E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Symptom scores </w:t>
            </w:r>
            <w:r w:rsidRPr="005C2793">
              <w:rPr>
                <w:rFonts w:eastAsia="Times New Roman"/>
                <w:vertAlign w:val="superscript"/>
                <w:lang w:val="en-US" w:eastAsia="en-GB"/>
              </w:rPr>
              <w:t>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125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Maintenance dose at the end of escalation phase (</w:t>
            </w:r>
            <w:r w:rsidRPr="005C2793">
              <w:rPr>
                <w:rFonts w:eastAsia="Times New Roman" w:hint="eastAsia"/>
                <w:lang w:val="en-US" w:eastAsia="en-GB"/>
              </w:rPr>
              <w:t>m</w:t>
            </w:r>
            <w:r w:rsidRPr="005C2793">
              <w:rPr>
                <w:rFonts w:eastAsia="Times New Roman"/>
                <w:lang w:val="en-US" w:eastAsia="en-GB"/>
              </w:rPr>
              <w:t>L)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6A4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Maintenance dose at the end of OIT (</w:t>
            </w:r>
            <w:r w:rsidRPr="005C2793">
              <w:rPr>
                <w:rFonts w:eastAsia="Times New Roman" w:hint="eastAsia"/>
                <w:lang w:val="en-US" w:eastAsia="en-GB"/>
              </w:rPr>
              <w:t>m</w:t>
            </w:r>
            <w:r w:rsidRPr="005C2793">
              <w:rPr>
                <w:rFonts w:eastAsia="Times New Roman"/>
                <w:lang w:val="en-US" w:eastAsia="en-GB"/>
              </w:rPr>
              <w:t>L)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0BB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Final dose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407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Symptom scores </w:t>
            </w:r>
            <w:r w:rsidRPr="005C2793">
              <w:rPr>
                <w:rFonts w:eastAsia="Times New Roman"/>
                <w:vertAlign w:val="superscript"/>
                <w:lang w:val="en-US" w:eastAsia="en-GB"/>
              </w:rPr>
              <w:t>†</w:t>
            </w:r>
          </w:p>
        </w:tc>
      </w:tr>
      <w:tr w:rsidR="005C2793" w:rsidRPr="005C2793" w14:paraId="42582378" w14:textId="77777777" w:rsidTr="005C2793">
        <w:trPr>
          <w:trHeight w:val="828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05C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CDF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4C17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b/>
                <w:bCs/>
                <w:lang w:val="en-US" w:eastAsia="en-GB"/>
              </w:rPr>
            </w:pPr>
          </w:p>
        </w:tc>
        <w:tc>
          <w:tcPr>
            <w:tcW w:w="50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EB22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0D0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(according to Ref </w:t>
            </w:r>
            <w:r w:rsidRPr="005C2793">
              <w:rPr>
                <w:rFonts w:eastAsia="Times New Roman" w:hint="eastAsia"/>
                <w:lang w:val="en-US" w:eastAsia="en-GB"/>
              </w:rPr>
              <w:t>1</w:t>
            </w:r>
            <w:r w:rsidRPr="005C2793">
              <w:rPr>
                <w:rFonts w:eastAsia="Times New Roman"/>
                <w:lang w:val="en-US" w:eastAsia="en-GB"/>
              </w:rPr>
              <w:t>)</w:t>
            </w:r>
          </w:p>
        </w:tc>
        <w:tc>
          <w:tcPr>
            <w:tcW w:w="6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1D2B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D4BA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61E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 (</w:t>
            </w:r>
            <w:r w:rsidRPr="005C2793">
              <w:rPr>
                <w:rFonts w:eastAsia="Times New Roman" w:hint="eastAsia"/>
                <w:lang w:val="en-US" w:eastAsia="en-GB"/>
              </w:rPr>
              <w:t>m</w:t>
            </w:r>
            <w:r w:rsidRPr="005C2793">
              <w:rPr>
                <w:rFonts w:eastAsia="Times New Roman"/>
                <w:lang w:val="en-US" w:eastAsia="en-GB"/>
              </w:rPr>
              <w:t>L)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836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(according to Ref </w:t>
            </w:r>
            <w:r w:rsidRPr="005C2793">
              <w:rPr>
                <w:rFonts w:eastAsia="Times New Roman" w:hint="eastAsia"/>
                <w:lang w:val="en-US" w:eastAsia="en-GB"/>
              </w:rPr>
              <w:t>1</w:t>
            </w:r>
            <w:r w:rsidRPr="005C2793">
              <w:rPr>
                <w:rFonts w:eastAsia="Times New Roman"/>
                <w:lang w:val="en-US" w:eastAsia="en-GB"/>
              </w:rPr>
              <w:t>)</w:t>
            </w:r>
          </w:p>
        </w:tc>
      </w:tr>
      <w:tr w:rsidR="005C2793" w:rsidRPr="005C2793" w14:paraId="2CA7CA6B" w14:textId="77777777" w:rsidTr="005C2793">
        <w:trPr>
          <w:trHeight w:val="54"/>
        </w:trPr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81A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B629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32C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949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792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G(2)R(3)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D93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D8D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AE9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7B5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S(1)R(3) </w:t>
            </w:r>
          </w:p>
        </w:tc>
      </w:tr>
      <w:tr w:rsidR="005C2793" w:rsidRPr="005C2793" w14:paraId="599CE222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30A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F6E7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031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CCD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2A6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S(1)R(3)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2E9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74A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F2F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F91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</w:tr>
      <w:tr w:rsidR="005C2793" w:rsidRPr="005C2793" w14:paraId="744BF30F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0DD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BC2A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65F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A50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7BD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FA5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8C6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28B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86C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</w:t>
            </w:r>
          </w:p>
        </w:tc>
      </w:tr>
      <w:tr w:rsidR="005C2793" w:rsidRPr="005C2793" w14:paraId="7A99C634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741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A67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DBF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0C7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1AB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R(3)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482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FB3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DD4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B44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R(2)</w:t>
            </w:r>
          </w:p>
        </w:tc>
      </w:tr>
      <w:tr w:rsidR="005C2793" w:rsidRPr="005C2793" w14:paraId="3CC408F5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C4D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EB1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89A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A8C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921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G(2)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48B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4B3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143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1AE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R(4)</w:t>
            </w:r>
          </w:p>
        </w:tc>
      </w:tr>
      <w:tr w:rsidR="005C2793" w:rsidRPr="005C2793" w14:paraId="3577F9F3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797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C71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359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D97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99F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8C3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69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268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32A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S(2)G(2)</w:t>
            </w:r>
          </w:p>
        </w:tc>
      </w:tr>
      <w:tr w:rsidR="005C2793" w:rsidRPr="005C2793" w14:paraId="10B529CE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AB7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5D1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C35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444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650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S(2)R(4)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CCC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E01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AED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211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S(2)R(2) </w:t>
            </w:r>
          </w:p>
        </w:tc>
      </w:tr>
      <w:tr w:rsidR="005C2793" w:rsidRPr="005C2793" w14:paraId="561E18C5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6B0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9EF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749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AEE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EE7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4D6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95B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DF9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16E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</w:t>
            </w:r>
          </w:p>
        </w:tc>
      </w:tr>
      <w:tr w:rsidR="005C2793" w:rsidRPr="005C2793" w14:paraId="44881A03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25C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A9A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208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179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E07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S(1)G(2)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A6A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EB7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106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ND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DC4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ND</w:t>
            </w:r>
          </w:p>
        </w:tc>
      </w:tr>
      <w:tr w:rsidR="005C2793" w:rsidRPr="005C2793" w14:paraId="463117A5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CD1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C9B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591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1C9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F1D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G(1)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C48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549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439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274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S(2)</w:t>
            </w:r>
          </w:p>
        </w:tc>
      </w:tr>
      <w:tr w:rsidR="005C2793" w:rsidRPr="005C2793" w14:paraId="6B257865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FAC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2BA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DE6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45F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530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B53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F27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8F8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4FD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 xml:space="preserve">S(2)R(4) </w:t>
            </w:r>
          </w:p>
        </w:tc>
      </w:tr>
      <w:tr w:rsidR="005C2793" w:rsidRPr="005C2793" w14:paraId="79185F99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B3D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lastRenderedPageBreak/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811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59D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C0E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422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G(1)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6D2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0CF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E9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D25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R(2)</w:t>
            </w:r>
          </w:p>
        </w:tc>
      </w:tr>
      <w:tr w:rsidR="005C2793" w:rsidRPr="005C2793" w14:paraId="2E89A390" w14:textId="77777777" w:rsidTr="005C2793">
        <w:trPr>
          <w:trHeight w:val="276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6FA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82A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4B55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C47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A34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S(1)R(3)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F7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198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530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D3F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G(1)R(2)</w:t>
            </w:r>
          </w:p>
        </w:tc>
      </w:tr>
      <w:tr w:rsidR="005C2793" w:rsidRPr="005C2793" w14:paraId="42C4851F" w14:textId="77777777" w:rsidTr="005C2793">
        <w:trPr>
          <w:trHeight w:val="288"/>
        </w:trPr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8B1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47D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11B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F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8A68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E3E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S(1)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2B1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520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372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A89E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</w:t>
            </w:r>
          </w:p>
        </w:tc>
      </w:tr>
    </w:tbl>
    <w:p w14:paraId="484A3587" w14:textId="77777777" w:rsidR="005C2793" w:rsidRP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lang w:val="en-US" w:eastAsia="en-GB"/>
        </w:rPr>
        <w:t>OIT, oral immunotherapy; ND, not done</w:t>
      </w:r>
    </w:p>
    <w:p w14:paraId="61F4646B" w14:textId="3689C5C4" w:rsid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vertAlign w:val="superscript"/>
          <w:lang w:val="en-US" w:eastAsia="en-GB"/>
        </w:rPr>
        <w:t>†</w:t>
      </w:r>
      <w:r w:rsidRPr="005C2793">
        <w:rPr>
          <w:rFonts w:eastAsia="Times New Roman"/>
          <w:lang w:val="en-US" w:eastAsia="en-GB"/>
        </w:rPr>
        <w:t xml:space="preserve"> Symptom scores indicated the regions of reaction (S, skin symptoms; G, gastrointestinal tract symptoms; R, respiratory tract symptoms; C, cardiovascular symptoms; N, neurological symptoms) and severity grades (1–5) according to the modified Sampson’s anaphylaxis grades in the Japanese Pediatric Guideline for Food Allergy 2012 [1]. The results of the challenge were determined by a doctor.</w:t>
      </w:r>
    </w:p>
    <w:p w14:paraId="5E74C6BE" w14:textId="40F95F5C" w:rsid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</w:pPr>
    </w:p>
    <w:p w14:paraId="71A45E50" w14:textId="77777777" w:rsidR="005C2793" w:rsidRDefault="005C2793" w:rsidP="005C2793">
      <w:pPr>
        <w:spacing w:after="120" w:line="360" w:lineRule="auto"/>
        <w:rPr>
          <w:rFonts w:eastAsia="Times New Roman"/>
          <w:b/>
          <w:lang w:val="en-US" w:eastAsia="en-GB"/>
        </w:rPr>
        <w:sectPr w:rsidR="005C2793" w:rsidSect="005C2793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0426406E" w14:textId="308ECEE8" w:rsidR="005C2793" w:rsidRDefault="005C2793" w:rsidP="005C2793">
      <w:pPr>
        <w:spacing w:after="120" w:line="360" w:lineRule="auto"/>
        <w:rPr>
          <w:rFonts w:eastAsia="Times New Roman"/>
          <w:vertAlign w:val="superscript"/>
          <w:lang w:val="en-US" w:eastAsia="en-GB"/>
        </w:rPr>
      </w:pPr>
      <w:r w:rsidRPr="005C2793">
        <w:rPr>
          <w:rFonts w:eastAsia="Times New Roman"/>
          <w:b/>
          <w:lang w:val="en-US" w:eastAsia="en-GB"/>
        </w:rPr>
        <w:lastRenderedPageBreak/>
        <w:t>Table S</w:t>
      </w:r>
      <w:r w:rsidRPr="005C2793">
        <w:rPr>
          <w:rFonts w:eastAsia="Times New Roman" w:hint="eastAsia"/>
          <w:b/>
          <w:lang w:val="en-US" w:eastAsia="en-GB"/>
        </w:rPr>
        <w:t>4</w:t>
      </w:r>
      <w:r w:rsidRPr="005C2793">
        <w:rPr>
          <w:rFonts w:eastAsia="Times New Roman"/>
          <w:b/>
          <w:lang w:val="en-US" w:eastAsia="en-GB"/>
        </w:rPr>
        <w:t xml:space="preserve">. </w:t>
      </w:r>
      <w:r w:rsidRPr="005C2793">
        <w:rPr>
          <w:rFonts w:eastAsia="Times New Roman"/>
          <w:lang w:val="en-US" w:eastAsia="en-GB"/>
        </w:rPr>
        <w:t>Laboratory data before OIT and after OIT</w:t>
      </w:r>
      <w:r w:rsidRPr="005C2793">
        <w:rPr>
          <w:rFonts w:eastAsia="Times New Roman"/>
          <w:vertAlign w:val="superscript"/>
          <w:lang w:val="en-US" w:eastAsia="en-GB"/>
        </w:rPr>
        <w:t>†</w:t>
      </w:r>
    </w:p>
    <w:tbl>
      <w:tblPr>
        <w:tblpPr w:leftFromText="144" w:rightFromText="144" w:vertAnchor="text" w:horzAnchor="margin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1437"/>
        <w:gridCol w:w="1087"/>
        <w:gridCol w:w="662"/>
        <w:gridCol w:w="1249"/>
        <w:gridCol w:w="1150"/>
        <w:gridCol w:w="646"/>
      </w:tblGrid>
      <w:tr w:rsidR="00AF4BD9" w:rsidRPr="005C2793" w14:paraId="3A708665" w14:textId="77777777" w:rsidTr="005C2793">
        <w:trPr>
          <w:trHeight w:val="67"/>
        </w:trPr>
        <w:tc>
          <w:tcPr>
            <w:tcW w:w="16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4D66C8D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 </w:t>
            </w:r>
          </w:p>
        </w:tc>
        <w:tc>
          <w:tcPr>
            <w:tcW w:w="1768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7B34144F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Low-dose (20 mL) group (n=18)</w:t>
            </w:r>
          </w:p>
        </w:tc>
        <w:tc>
          <w:tcPr>
            <w:tcW w:w="160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7FC05A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High-dose (100 mL) group (n=13)</w:t>
            </w:r>
          </w:p>
        </w:tc>
      </w:tr>
      <w:tr w:rsidR="005C2793" w:rsidRPr="005C2793" w14:paraId="28E3AE40" w14:textId="77777777" w:rsidTr="005C2793">
        <w:trPr>
          <w:trHeight w:val="162"/>
        </w:trPr>
        <w:tc>
          <w:tcPr>
            <w:tcW w:w="16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E09E2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920AA6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Before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453699B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After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AB31EC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p</w:t>
            </w:r>
            <w:r w:rsidRPr="005C2793">
              <w:rPr>
                <w:rFonts w:eastAsia="Times New Roman"/>
                <w:vertAlign w:val="superscript"/>
                <w:lang w:val="en-US" w:eastAsia="en-GB"/>
              </w:rPr>
              <w:t>‡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B16FD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Before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461C955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After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19A560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p</w:t>
            </w:r>
            <w:r w:rsidRPr="005C2793">
              <w:rPr>
                <w:rFonts w:eastAsia="Times New Roman"/>
                <w:vertAlign w:val="superscript"/>
                <w:lang w:val="en-US" w:eastAsia="en-GB"/>
              </w:rPr>
              <w:t>‡</w:t>
            </w:r>
          </w:p>
        </w:tc>
      </w:tr>
      <w:tr w:rsidR="005C2793" w:rsidRPr="005C2793" w14:paraId="47E9ECD9" w14:textId="77777777" w:rsidTr="005C2793">
        <w:tc>
          <w:tcPr>
            <w:tcW w:w="163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41A0A75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Milk-specific </w:t>
            </w:r>
            <w:proofErr w:type="spellStart"/>
            <w:r w:rsidRPr="005C2793">
              <w:rPr>
                <w:rFonts w:eastAsia="Times New Roman"/>
                <w:b/>
                <w:bCs/>
                <w:lang w:val="en-US" w:eastAsia="en-GB"/>
              </w:rPr>
              <w:t>IgE</w:t>
            </w:r>
            <w:proofErr w:type="spellEnd"/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 [U</w:t>
            </w:r>
            <w:r w:rsidRPr="005C2793">
              <w:rPr>
                <w:rFonts w:eastAsia="Times New Roman"/>
                <w:b/>
                <w:bCs/>
                <w:vertAlign w:val="subscript"/>
                <w:lang w:val="en-US" w:eastAsia="en-GB"/>
              </w:rPr>
              <w:t>A</w:t>
            </w:r>
            <w:r w:rsidRPr="005C2793">
              <w:rPr>
                <w:rFonts w:eastAsia="Times New Roman"/>
                <w:b/>
                <w:bCs/>
                <w:lang w:val="en-US" w:eastAsia="en-GB"/>
              </w:rPr>
              <w:t>/mL, (range)]</w:t>
            </w:r>
          </w:p>
        </w:tc>
        <w:tc>
          <w:tcPr>
            <w:tcW w:w="79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54" w:type="dxa"/>
              <w:right w:w="9" w:type="dxa"/>
            </w:tcMar>
            <w:vAlign w:val="center"/>
            <w:hideMark/>
          </w:tcPr>
          <w:p w14:paraId="4B3F8EA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39.6 (0.41-100)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45" w:type="dxa"/>
              <w:right w:w="7" w:type="dxa"/>
            </w:tcMar>
            <w:vAlign w:val="center"/>
            <w:hideMark/>
          </w:tcPr>
          <w:p w14:paraId="604FF69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24.9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(0.44-100)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76B467A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0.061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54" w:type="dxa"/>
              <w:right w:w="9" w:type="dxa"/>
            </w:tcMar>
            <w:vAlign w:val="center"/>
            <w:hideMark/>
          </w:tcPr>
          <w:p w14:paraId="01F97F9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28.9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(2.61-84.7)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45" w:type="dxa"/>
              <w:right w:w="7" w:type="dxa"/>
            </w:tcMar>
            <w:vAlign w:val="center"/>
            <w:hideMark/>
          </w:tcPr>
          <w:p w14:paraId="5BA0522A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18.0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(6.08-100)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07D09B3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0.002</w:t>
            </w:r>
          </w:p>
        </w:tc>
      </w:tr>
      <w:tr w:rsidR="005C2793" w:rsidRPr="005C2793" w14:paraId="3B8D49A4" w14:textId="77777777" w:rsidTr="005C2793">
        <w:trPr>
          <w:trHeight w:val="33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74300BF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Casein-specific </w:t>
            </w:r>
            <w:proofErr w:type="spellStart"/>
            <w:r w:rsidRPr="005C2793">
              <w:rPr>
                <w:rFonts w:eastAsia="Times New Roman"/>
                <w:b/>
                <w:bCs/>
                <w:lang w:val="en-US" w:eastAsia="en-GB"/>
              </w:rPr>
              <w:t>IgE</w:t>
            </w:r>
            <w:proofErr w:type="spellEnd"/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 [U</w:t>
            </w:r>
            <w:r w:rsidRPr="005C2793">
              <w:rPr>
                <w:rFonts w:eastAsia="Times New Roman"/>
                <w:b/>
                <w:bCs/>
                <w:vertAlign w:val="subscript"/>
                <w:lang w:val="en-US" w:eastAsia="en-GB"/>
              </w:rPr>
              <w:t>A</w:t>
            </w:r>
            <w:r w:rsidRPr="005C2793">
              <w:rPr>
                <w:rFonts w:eastAsia="Times New Roman"/>
                <w:b/>
                <w:bCs/>
                <w:lang w:val="en-US" w:eastAsia="en-GB"/>
              </w:rPr>
              <w:t>/mL, (range)]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54" w:type="dxa"/>
              <w:right w:w="9" w:type="dxa"/>
            </w:tcMar>
            <w:vAlign w:val="center"/>
            <w:hideMark/>
          </w:tcPr>
          <w:p w14:paraId="7248A38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45.6 (0.45-100)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45" w:type="dxa"/>
              <w:right w:w="7" w:type="dxa"/>
            </w:tcMar>
            <w:vAlign w:val="center"/>
            <w:hideMark/>
          </w:tcPr>
          <w:p w14:paraId="67B5678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23.0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(0.44-100)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550790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0.001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54" w:type="dxa"/>
              <w:right w:w="9" w:type="dxa"/>
            </w:tcMar>
            <w:vAlign w:val="center"/>
            <w:hideMark/>
          </w:tcPr>
          <w:p w14:paraId="6B40187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32.0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(16-100)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45" w:type="dxa"/>
              <w:right w:w="7" w:type="dxa"/>
            </w:tcMar>
            <w:vAlign w:val="center"/>
            <w:hideMark/>
          </w:tcPr>
          <w:p w14:paraId="14F6C6E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23.3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(5.86-100)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A3843C9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0.005</w:t>
            </w:r>
          </w:p>
        </w:tc>
      </w:tr>
      <w:tr w:rsidR="005C2793" w:rsidRPr="005C2793" w14:paraId="0CF26654" w14:textId="77777777" w:rsidTr="005C2793">
        <w:trPr>
          <w:trHeight w:val="441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364EE754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β-</w:t>
            </w:r>
            <w:proofErr w:type="spellStart"/>
            <w:r w:rsidRPr="005C2793">
              <w:rPr>
                <w:rFonts w:eastAsia="Times New Roman"/>
                <w:b/>
                <w:bCs/>
                <w:lang w:val="en-US" w:eastAsia="en-GB"/>
              </w:rPr>
              <w:t>lactoglobulin</w:t>
            </w:r>
            <w:proofErr w:type="spellEnd"/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-specific </w:t>
            </w:r>
            <w:proofErr w:type="spellStart"/>
            <w:r w:rsidRPr="005C2793">
              <w:rPr>
                <w:rFonts w:eastAsia="Times New Roman"/>
                <w:b/>
                <w:bCs/>
                <w:lang w:val="en-US" w:eastAsia="en-GB"/>
              </w:rPr>
              <w:t>IgE</w:t>
            </w:r>
            <w:proofErr w:type="spellEnd"/>
            <w:r w:rsidRPr="005C2793">
              <w:rPr>
                <w:rFonts w:eastAsia="Times New Roman"/>
                <w:b/>
                <w:bCs/>
                <w:lang w:val="en-US" w:eastAsia="en-GB"/>
              </w:rPr>
              <w:t xml:space="preserve"> [U</w:t>
            </w:r>
            <w:r w:rsidRPr="005C2793">
              <w:rPr>
                <w:rFonts w:eastAsia="Times New Roman"/>
                <w:b/>
                <w:bCs/>
                <w:vertAlign w:val="subscript"/>
                <w:lang w:val="en-US" w:eastAsia="en-GB"/>
              </w:rPr>
              <w:t>A</w:t>
            </w:r>
            <w:r w:rsidRPr="005C2793">
              <w:rPr>
                <w:rFonts w:eastAsia="Times New Roman"/>
                <w:b/>
                <w:bCs/>
                <w:lang w:val="en-US" w:eastAsia="en-GB"/>
              </w:rPr>
              <w:t>/mL, (range)]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54" w:type="dxa"/>
              <w:right w:w="9" w:type="dxa"/>
            </w:tcMar>
            <w:vAlign w:val="center"/>
            <w:hideMark/>
          </w:tcPr>
          <w:p w14:paraId="0C0D57B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1.64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(0.01-57.8)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45" w:type="dxa"/>
              <w:right w:w="7" w:type="dxa"/>
            </w:tcMar>
            <w:vAlign w:val="center"/>
            <w:hideMark/>
          </w:tcPr>
          <w:p w14:paraId="76E9AA1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0.84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(0.01-29.5)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7D2E31AD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0.002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54" w:type="dxa"/>
              <w:right w:w="9" w:type="dxa"/>
            </w:tcMar>
            <w:vAlign w:val="center"/>
            <w:hideMark/>
          </w:tcPr>
          <w:p w14:paraId="7034C27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2.88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(0.15-63.8)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45" w:type="dxa"/>
              <w:right w:w="7" w:type="dxa"/>
            </w:tcMar>
            <w:vAlign w:val="center"/>
            <w:hideMark/>
          </w:tcPr>
          <w:p w14:paraId="331447FC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1.32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(0.44-53.3)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C1A6DC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0.003</w:t>
            </w:r>
          </w:p>
        </w:tc>
      </w:tr>
      <w:tr w:rsidR="005C2793" w:rsidRPr="005C2793" w14:paraId="52F16E9D" w14:textId="77777777" w:rsidTr="005C2793">
        <w:trPr>
          <w:trHeight w:val="330"/>
        </w:trPr>
        <w:tc>
          <w:tcPr>
            <w:tcW w:w="16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4A4C61BB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b/>
                <w:bCs/>
                <w:lang w:val="en-US" w:eastAsia="en-GB"/>
              </w:rPr>
              <w:t>Milk prick test [mm, (range)]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54" w:type="dxa"/>
              <w:right w:w="9" w:type="dxa"/>
            </w:tcMar>
            <w:vAlign w:val="center"/>
            <w:hideMark/>
          </w:tcPr>
          <w:p w14:paraId="6F4E2C21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10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(6.5-21)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45" w:type="dxa"/>
              <w:right w:w="7" w:type="dxa"/>
            </w:tcMar>
            <w:vAlign w:val="center"/>
            <w:hideMark/>
          </w:tcPr>
          <w:p w14:paraId="24FFEF17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8.5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(5.5-12)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9841E00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0.007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54" w:type="dxa"/>
              <w:right w:w="9" w:type="dxa"/>
            </w:tcMar>
            <w:vAlign w:val="center"/>
            <w:hideMark/>
          </w:tcPr>
          <w:p w14:paraId="2C7F94E8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12.5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(8-18.5)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45" w:type="dxa"/>
              <w:right w:w="7" w:type="dxa"/>
            </w:tcMar>
            <w:vAlign w:val="center"/>
            <w:hideMark/>
          </w:tcPr>
          <w:p w14:paraId="358056E2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9.5</w:t>
            </w:r>
            <w:r w:rsidRPr="005C2793">
              <w:rPr>
                <w:rFonts w:eastAsia="Times New Roman" w:hint="eastAsia"/>
                <w:lang w:val="en-US" w:eastAsia="en-GB"/>
              </w:rPr>
              <w:t xml:space="preserve"> </w:t>
            </w:r>
            <w:r w:rsidRPr="005C2793">
              <w:rPr>
                <w:rFonts w:eastAsia="Times New Roman"/>
                <w:lang w:val="en-US" w:eastAsia="en-GB"/>
              </w:rPr>
              <w:t>(6-14.5)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1791E456" w14:textId="77777777" w:rsidR="005C2793" w:rsidRPr="005C2793" w:rsidRDefault="005C2793" w:rsidP="005C2793">
            <w:pPr>
              <w:spacing w:after="120" w:line="360" w:lineRule="auto"/>
              <w:rPr>
                <w:rFonts w:eastAsia="Times New Roman"/>
                <w:lang w:val="en-US" w:eastAsia="en-GB"/>
              </w:rPr>
            </w:pPr>
            <w:r w:rsidRPr="005C2793">
              <w:rPr>
                <w:rFonts w:eastAsia="Times New Roman"/>
                <w:lang w:val="en-US" w:eastAsia="en-GB"/>
              </w:rPr>
              <w:t>0.073</w:t>
            </w:r>
          </w:p>
        </w:tc>
      </w:tr>
    </w:tbl>
    <w:p w14:paraId="4A826FA9" w14:textId="77777777" w:rsidR="005C2793" w:rsidRP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lang w:val="en-US" w:eastAsia="en-GB"/>
        </w:rPr>
        <w:t>OIT, oral immunotherapy</w:t>
      </w:r>
    </w:p>
    <w:p w14:paraId="76D287D9" w14:textId="77777777" w:rsidR="005C2793" w:rsidRP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vertAlign w:val="superscript"/>
          <w:lang w:val="en-US" w:eastAsia="en-GB"/>
        </w:rPr>
        <w:t xml:space="preserve">† </w:t>
      </w:r>
      <w:r w:rsidRPr="005C2793">
        <w:rPr>
          <w:rFonts w:eastAsia="Times New Roman"/>
          <w:lang w:val="en-US" w:eastAsia="en-GB"/>
        </w:rPr>
        <w:t>Values are displayed as the median and range.</w:t>
      </w:r>
    </w:p>
    <w:p w14:paraId="05B2949C" w14:textId="0917B9F5" w:rsidR="005C2793" w:rsidRDefault="005C2793" w:rsidP="005C2793">
      <w:pPr>
        <w:spacing w:after="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vertAlign w:val="superscript"/>
          <w:lang w:val="en-US" w:eastAsia="en-GB"/>
        </w:rPr>
        <w:t xml:space="preserve">‡ </w:t>
      </w:r>
      <w:r w:rsidRPr="005C2793">
        <w:rPr>
          <w:rFonts w:eastAsia="Times New Roman"/>
          <w:lang w:val="en-US" w:eastAsia="en-GB"/>
        </w:rPr>
        <w:t xml:space="preserve">Statistically significant differences were assessed using </w:t>
      </w:r>
      <w:r w:rsidRPr="005C2793">
        <w:rPr>
          <w:rFonts w:eastAsia="Times New Roman" w:hint="eastAsia"/>
          <w:lang w:val="en-US" w:eastAsia="en-GB"/>
        </w:rPr>
        <w:t xml:space="preserve">Wilcoxon signed-rank </w:t>
      </w:r>
      <w:r w:rsidRPr="005C2793">
        <w:rPr>
          <w:rFonts w:eastAsia="Times New Roman"/>
          <w:lang w:val="en-US" w:eastAsia="en-GB"/>
        </w:rPr>
        <w:t xml:space="preserve">tests in each group. </w:t>
      </w:r>
      <w:r w:rsidRPr="005C2793">
        <w:rPr>
          <w:rFonts w:eastAsia="Times New Roman"/>
          <w:i/>
          <w:lang w:val="en-US" w:eastAsia="en-GB"/>
        </w:rPr>
        <w:t xml:space="preserve">p </w:t>
      </w:r>
      <w:r w:rsidRPr="005C2793">
        <w:rPr>
          <w:rFonts w:eastAsia="Times New Roman"/>
          <w:lang w:val="en-US" w:eastAsia="en-GB"/>
        </w:rPr>
        <w:t>&lt;0.05 was considered statistically significant.</w:t>
      </w:r>
    </w:p>
    <w:p w14:paraId="2F89709A" w14:textId="77777777" w:rsidR="00B20EC5" w:rsidRDefault="00B20EC5" w:rsidP="005C2793">
      <w:pPr>
        <w:spacing w:after="0" w:line="360" w:lineRule="auto"/>
        <w:rPr>
          <w:rFonts w:eastAsia="Times New Roman"/>
          <w:lang w:val="en-US" w:eastAsia="en-GB"/>
        </w:rPr>
        <w:sectPr w:rsidR="00B20EC5" w:rsidSect="005C2793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6E459549" w14:textId="5618A0C3" w:rsidR="00BA5EF1" w:rsidRDefault="00E54BA4" w:rsidP="005C2793">
      <w:pPr>
        <w:spacing w:after="0" w:line="360" w:lineRule="auto"/>
      </w:pPr>
      <w:r>
        <w:rPr>
          <w:noProof/>
          <w:lang w:val="en-US"/>
        </w:rPr>
        <w:lastRenderedPageBreak/>
        <w:drawing>
          <wp:inline distT="0" distB="0" distL="0" distR="0" wp14:anchorId="09DC306F" wp14:editId="198AC2EB">
            <wp:extent cx="5759450" cy="57473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725B" w14:textId="0E5D5356" w:rsidR="00B20EC5" w:rsidRPr="005C2793" w:rsidRDefault="00B20EC5" w:rsidP="005C2793">
      <w:pPr>
        <w:spacing w:after="0" w:line="360" w:lineRule="auto"/>
        <w:rPr>
          <w:rFonts w:eastAsia="Times New Roman"/>
          <w:lang w:val="en-US" w:eastAsia="en-GB"/>
        </w:rPr>
      </w:pPr>
      <w:r>
        <w:t xml:space="preserve">Fig. S1. </w:t>
      </w:r>
      <w:r w:rsidR="00E54BA4">
        <w:t>S</w:t>
      </w:r>
      <w:r w:rsidR="000F3202">
        <w:rPr>
          <w:lang w:eastAsia="ja-JP"/>
        </w:rPr>
        <w:t xml:space="preserve">tudy </w:t>
      </w:r>
      <w:r w:rsidR="00E54BA4">
        <w:rPr>
          <w:lang w:eastAsia="ja-JP"/>
        </w:rPr>
        <w:t>D</w:t>
      </w:r>
      <w:r w:rsidR="000F3202">
        <w:rPr>
          <w:lang w:eastAsia="ja-JP"/>
        </w:rPr>
        <w:t>esign</w:t>
      </w:r>
      <w:bookmarkStart w:id="2" w:name="_GoBack"/>
      <w:bookmarkEnd w:id="2"/>
    </w:p>
    <w:p w14:paraId="4280B27C" w14:textId="77777777" w:rsidR="00792DD7" w:rsidRPr="005C2793" w:rsidRDefault="00792DD7" w:rsidP="00792DD7">
      <w:pPr>
        <w:spacing w:after="0" w:line="360" w:lineRule="auto"/>
        <w:rPr>
          <w:rFonts w:eastAsia="Times New Roman"/>
          <w:lang w:val="en-US" w:eastAsia="en-GB"/>
        </w:rPr>
      </w:pPr>
      <w:r w:rsidRPr="005C2793">
        <w:rPr>
          <w:rFonts w:eastAsia="Times New Roman"/>
          <w:lang w:val="en-US" w:eastAsia="en-GB"/>
        </w:rPr>
        <w:t>OIT, oral immunotherapy</w:t>
      </w:r>
    </w:p>
    <w:p w14:paraId="22BA3AAA" w14:textId="2A2F7972" w:rsidR="004D0608" w:rsidRPr="001B170B" w:rsidRDefault="004D0608" w:rsidP="00FF6C32">
      <w:pPr>
        <w:spacing w:after="120" w:line="240" w:lineRule="auto"/>
        <w:rPr>
          <w:lang w:val="en-GB"/>
        </w:rPr>
      </w:pPr>
    </w:p>
    <w:sectPr w:rsidR="004D0608" w:rsidRPr="001B170B" w:rsidSect="005C279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8A4526" w15:done="0"/>
  <w15:commentEx w15:paraId="714D2116" w15:paraIdParent="458A4526" w15:done="0"/>
  <w15:commentEx w15:paraId="037F8382" w15:paraIdParent="458A45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A4526" w16cid:durableId="21DD0F3C"/>
  <w16cid:commentId w16cid:paraId="714D2116" w16cid:durableId="21E5696F"/>
  <w16cid:commentId w16cid:paraId="037F8382" w16cid:durableId="21E707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60201" w14:textId="77777777" w:rsidR="00830BD0" w:rsidRDefault="00830BD0" w:rsidP="001B170B">
      <w:pPr>
        <w:spacing w:after="0" w:line="240" w:lineRule="auto"/>
      </w:pPr>
      <w:r>
        <w:separator/>
      </w:r>
    </w:p>
  </w:endnote>
  <w:endnote w:type="continuationSeparator" w:id="0">
    <w:p w14:paraId="27EA1CDD" w14:textId="77777777" w:rsidR="00830BD0" w:rsidRDefault="00830BD0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6053" w14:textId="77777777" w:rsidR="00E54BA4" w:rsidRDefault="00E54BA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25D6E" w:rsidRPr="00525D6E">
      <w:rPr>
        <w:noProof/>
        <w:lang w:val="de-DE"/>
      </w:rPr>
      <w:t>1</w:t>
    </w:r>
    <w:r>
      <w:fldChar w:fldCharType="end"/>
    </w:r>
  </w:p>
  <w:p w14:paraId="0B7B4352" w14:textId="77777777" w:rsidR="00E54BA4" w:rsidRDefault="00E54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0DF56" w14:textId="77777777" w:rsidR="00830BD0" w:rsidRDefault="00830BD0" w:rsidP="001B170B">
      <w:pPr>
        <w:spacing w:after="0" w:line="240" w:lineRule="auto"/>
      </w:pPr>
      <w:r>
        <w:separator/>
      </w:r>
    </w:p>
  </w:footnote>
  <w:footnote w:type="continuationSeparator" w:id="0">
    <w:p w14:paraId="60500E60" w14:textId="77777777" w:rsidR="00830BD0" w:rsidRDefault="00830BD0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  <w15:person w15:author="takaoka yuri">
    <w15:presenceInfo w15:providerId="Windows Live" w15:userId="bf0ad5c15e45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04"/>
    <w:rsid w:val="00015D91"/>
    <w:rsid w:val="00033238"/>
    <w:rsid w:val="000450B2"/>
    <w:rsid w:val="000477ED"/>
    <w:rsid w:val="00050A28"/>
    <w:rsid w:val="000C28AF"/>
    <w:rsid w:val="000F174D"/>
    <w:rsid w:val="000F3202"/>
    <w:rsid w:val="001007C1"/>
    <w:rsid w:val="00141F4D"/>
    <w:rsid w:val="00172F86"/>
    <w:rsid w:val="001B170B"/>
    <w:rsid w:val="001B2AE5"/>
    <w:rsid w:val="001C0027"/>
    <w:rsid w:val="001D03F4"/>
    <w:rsid w:val="001F35D9"/>
    <w:rsid w:val="001F4237"/>
    <w:rsid w:val="00210168"/>
    <w:rsid w:val="0021674B"/>
    <w:rsid w:val="0024761F"/>
    <w:rsid w:val="0025593B"/>
    <w:rsid w:val="00273499"/>
    <w:rsid w:val="002773C6"/>
    <w:rsid w:val="00291011"/>
    <w:rsid w:val="002A617F"/>
    <w:rsid w:val="002D6E40"/>
    <w:rsid w:val="002E3128"/>
    <w:rsid w:val="00301E24"/>
    <w:rsid w:val="00354E13"/>
    <w:rsid w:val="00356141"/>
    <w:rsid w:val="003824FD"/>
    <w:rsid w:val="003C14D8"/>
    <w:rsid w:val="003E0B6B"/>
    <w:rsid w:val="003E597E"/>
    <w:rsid w:val="00446204"/>
    <w:rsid w:val="00471521"/>
    <w:rsid w:val="004A3A58"/>
    <w:rsid w:val="004B414E"/>
    <w:rsid w:val="004D0608"/>
    <w:rsid w:val="00504C74"/>
    <w:rsid w:val="005159BE"/>
    <w:rsid w:val="00525D6E"/>
    <w:rsid w:val="005616B9"/>
    <w:rsid w:val="00574D86"/>
    <w:rsid w:val="005A4F7B"/>
    <w:rsid w:val="005C2793"/>
    <w:rsid w:val="005E5163"/>
    <w:rsid w:val="00623487"/>
    <w:rsid w:val="0065590C"/>
    <w:rsid w:val="006715A9"/>
    <w:rsid w:val="0069003D"/>
    <w:rsid w:val="006E4ED7"/>
    <w:rsid w:val="006F38A3"/>
    <w:rsid w:val="006F55D2"/>
    <w:rsid w:val="00713CBA"/>
    <w:rsid w:val="00721932"/>
    <w:rsid w:val="007503C1"/>
    <w:rsid w:val="00792DD7"/>
    <w:rsid w:val="007E3D92"/>
    <w:rsid w:val="00814E01"/>
    <w:rsid w:val="00823CDE"/>
    <w:rsid w:val="00830BD0"/>
    <w:rsid w:val="00847E57"/>
    <w:rsid w:val="00861F3F"/>
    <w:rsid w:val="008932FD"/>
    <w:rsid w:val="008C6B2B"/>
    <w:rsid w:val="008D0A4D"/>
    <w:rsid w:val="009426DC"/>
    <w:rsid w:val="00971A83"/>
    <w:rsid w:val="009877A5"/>
    <w:rsid w:val="009A20E8"/>
    <w:rsid w:val="009A2147"/>
    <w:rsid w:val="009B707A"/>
    <w:rsid w:val="009E124F"/>
    <w:rsid w:val="009E71E0"/>
    <w:rsid w:val="009F5F1D"/>
    <w:rsid w:val="00A33539"/>
    <w:rsid w:val="00A43EEE"/>
    <w:rsid w:val="00A6667A"/>
    <w:rsid w:val="00AB1796"/>
    <w:rsid w:val="00AB2BFA"/>
    <w:rsid w:val="00AD352E"/>
    <w:rsid w:val="00AF4BD9"/>
    <w:rsid w:val="00B01929"/>
    <w:rsid w:val="00B20EC5"/>
    <w:rsid w:val="00B27D9B"/>
    <w:rsid w:val="00B4085C"/>
    <w:rsid w:val="00B41F67"/>
    <w:rsid w:val="00B42BC2"/>
    <w:rsid w:val="00B437EA"/>
    <w:rsid w:val="00B6622B"/>
    <w:rsid w:val="00BA5EF1"/>
    <w:rsid w:val="00BB7626"/>
    <w:rsid w:val="00BC79A5"/>
    <w:rsid w:val="00BD23D7"/>
    <w:rsid w:val="00C174DD"/>
    <w:rsid w:val="00C3583D"/>
    <w:rsid w:val="00C64B3E"/>
    <w:rsid w:val="00CF329B"/>
    <w:rsid w:val="00D1445C"/>
    <w:rsid w:val="00D168B4"/>
    <w:rsid w:val="00D22A92"/>
    <w:rsid w:val="00D72DC7"/>
    <w:rsid w:val="00DF2686"/>
    <w:rsid w:val="00E106C1"/>
    <w:rsid w:val="00E279E7"/>
    <w:rsid w:val="00E32262"/>
    <w:rsid w:val="00E361CC"/>
    <w:rsid w:val="00E54BA4"/>
    <w:rsid w:val="00EB649E"/>
    <w:rsid w:val="00EC19B0"/>
    <w:rsid w:val="00EE29C0"/>
    <w:rsid w:val="00F0476D"/>
    <w:rsid w:val="00F41AFF"/>
    <w:rsid w:val="00F9167D"/>
    <w:rsid w:val="00FB0662"/>
    <w:rsid w:val="00FC1B4F"/>
    <w:rsid w:val="00FE2A7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F7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46204"/>
  </w:style>
  <w:style w:type="character" w:customStyle="1" w:styleId="Heading6Char">
    <w:name w:val="Heading 6 Char"/>
    <w:link w:val="Heading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D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D91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7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70B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9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79E7"/>
    <w:rPr>
      <w:lang w:eastAsia="en-US"/>
    </w:rPr>
  </w:style>
  <w:style w:type="character" w:styleId="FootnoteReference">
    <w:name w:val="footnote reference"/>
    <w:uiPriority w:val="99"/>
    <w:semiHidden/>
    <w:unhideWhenUsed/>
    <w:rsid w:val="00E279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617F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4A3A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93"/>
    <w:rPr>
      <w:rFonts w:ascii="Segoe UI" w:hAnsi="Segoe UI" w:cs="Segoe UI"/>
      <w:sz w:val="18"/>
      <w:szCs w:val="18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E40"/>
    <w:rPr>
      <w:b/>
      <w:bCs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A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46204"/>
  </w:style>
  <w:style w:type="character" w:customStyle="1" w:styleId="Heading6Char">
    <w:name w:val="Heading 6 Char"/>
    <w:link w:val="Heading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D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D91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7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70B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9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79E7"/>
    <w:rPr>
      <w:lang w:eastAsia="en-US"/>
    </w:rPr>
  </w:style>
  <w:style w:type="character" w:styleId="FootnoteReference">
    <w:name w:val="footnote reference"/>
    <w:uiPriority w:val="99"/>
    <w:semiHidden/>
    <w:unhideWhenUsed/>
    <w:rsid w:val="00E279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617F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4A3A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93"/>
    <w:rPr>
      <w:rFonts w:ascii="Segoe UI" w:hAnsi="Segoe UI" w:cs="Segoe UI"/>
      <w:sz w:val="18"/>
      <w:szCs w:val="18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E40"/>
    <w:rPr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E5C3-496E-4181-BCCA-2DA8613B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727</Words>
  <Characters>4144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S.Karger AG</Company>
  <LinksUpToDate>false</LinksUpToDate>
  <CharactersWithSpaces>4862</CharactersWithSpaces>
  <SharedDoc>false</SharedDoc>
  <HLinks>
    <vt:vector size="30" baseType="variant">
      <vt:variant>
        <vt:i4>7405614</vt:i4>
      </vt:variant>
      <vt:variant>
        <vt:i4>12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http://www.wma.net/en/30publications/10policies/b3/index.html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Windows User</cp:lastModifiedBy>
  <cp:revision>4</cp:revision>
  <dcterms:created xsi:type="dcterms:W3CDTF">2020-02-06T12:56:00Z</dcterms:created>
  <dcterms:modified xsi:type="dcterms:W3CDTF">2020-02-11T08:48:00Z</dcterms:modified>
</cp:coreProperties>
</file>