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51CC" w14:textId="77777777" w:rsidR="002A4F9F" w:rsidRDefault="002A4F9F" w:rsidP="002A4F9F">
      <w:pPr>
        <w:spacing w:after="0" w:line="480" w:lineRule="auto"/>
        <w:rPr>
          <w:rFonts w:ascii="Times New Roman" w:hAnsi="Times New Roman" w:cs="Times New Roman"/>
          <w:b/>
          <w:color w:val="000000" w:themeColor="text1"/>
          <w:sz w:val="24"/>
          <w:szCs w:val="24"/>
          <w:lang w:val="en-US"/>
        </w:rPr>
      </w:pPr>
      <w:proofErr w:type="gramStart"/>
      <w:r>
        <w:rPr>
          <w:rFonts w:ascii="Times New Roman" w:hAnsi="Times New Roman" w:cs="Times New Roman"/>
          <w:b/>
          <w:color w:val="000000" w:themeColor="text1"/>
          <w:sz w:val="24"/>
          <w:szCs w:val="24"/>
          <w:lang w:val="en-US"/>
        </w:rPr>
        <w:t>On line</w:t>
      </w:r>
      <w:proofErr w:type="gramEnd"/>
      <w:r>
        <w:rPr>
          <w:rFonts w:ascii="Times New Roman" w:hAnsi="Times New Roman" w:cs="Times New Roman"/>
          <w:b/>
          <w:color w:val="000000" w:themeColor="text1"/>
          <w:sz w:val="24"/>
          <w:szCs w:val="24"/>
          <w:lang w:val="en-US"/>
        </w:rPr>
        <w:t xml:space="preserve"> supplement </w:t>
      </w:r>
    </w:p>
    <w:p w14:paraId="57B2C84B" w14:textId="77777777" w:rsidR="002A4F9F" w:rsidRPr="00221EAD" w:rsidRDefault="002A4F9F" w:rsidP="002A4F9F">
      <w:pPr>
        <w:autoSpaceDE w:val="0"/>
        <w:autoSpaceDN w:val="0"/>
        <w:adjustRightInd w:val="0"/>
        <w:spacing w:after="0" w:line="480" w:lineRule="auto"/>
        <w:jc w:val="both"/>
        <w:rPr>
          <w:rFonts w:ascii="Times New Roman" w:hAnsi="Times New Roman" w:cs="Times New Roman"/>
          <w:b/>
          <w:color w:val="000000" w:themeColor="text1"/>
          <w:sz w:val="24"/>
          <w:szCs w:val="24"/>
          <w:lang w:val="en-US"/>
        </w:rPr>
      </w:pPr>
      <w:r w:rsidRPr="00221EAD">
        <w:rPr>
          <w:rFonts w:ascii="Times New Roman" w:hAnsi="Times New Roman" w:cs="Times New Roman"/>
          <w:b/>
          <w:color w:val="000000" w:themeColor="text1"/>
          <w:sz w:val="24"/>
          <w:szCs w:val="24"/>
          <w:lang w:val="en-US"/>
        </w:rPr>
        <w:t xml:space="preserve">Title </w:t>
      </w:r>
    </w:p>
    <w:p w14:paraId="00BAD57E" w14:textId="77777777" w:rsidR="002A4F9F" w:rsidRPr="002A4F9F" w:rsidRDefault="002A4F9F" w:rsidP="002A4F9F">
      <w:pPr>
        <w:spacing w:line="480" w:lineRule="auto"/>
        <w:jc w:val="both"/>
        <w:rPr>
          <w:rFonts w:ascii="Times New Roman" w:hAnsi="Times New Roman" w:cs="Times New Roman"/>
          <w:color w:val="000000" w:themeColor="text1"/>
          <w:sz w:val="24"/>
          <w:szCs w:val="24"/>
          <w:lang w:val="en-US"/>
        </w:rPr>
      </w:pPr>
      <w:r w:rsidRPr="002A4F9F">
        <w:rPr>
          <w:rFonts w:ascii="Times New Roman" w:hAnsi="Times New Roman" w:cs="Times New Roman"/>
          <w:color w:val="000000" w:themeColor="text1"/>
          <w:sz w:val="24"/>
          <w:szCs w:val="24"/>
          <w:lang w:val="en-US"/>
        </w:rPr>
        <w:t xml:space="preserve">Mepolizumab in severe eosinophilic asthma: </w:t>
      </w:r>
      <w:bookmarkStart w:id="0" w:name="_Hlk30331030"/>
      <w:r w:rsidRPr="002A4F9F">
        <w:rPr>
          <w:rFonts w:ascii="Times New Roman" w:hAnsi="Times New Roman" w:cs="Times New Roman"/>
          <w:color w:val="000000" w:themeColor="text1"/>
          <w:sz w:val="24"/>
          <w:szCs w:val="24"/>
          <w:lang w:val="en-US"/>
        </w:rPr>
        <w:t>A two-year Follow-up in specialized asthma clinics in Greece: An interim analysis.</w:t>
      </w:r>
    </w:p>
    <w:bookmarkEnd w:id="0"/>
    <w:p w14:paraId="132F8076"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1900F124"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433E16B4"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6B2D9503"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64E68970"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037859C6"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3B21AA3C"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4B5F715F"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6F55258D"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66104E50"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02B27C34"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651DDC3E"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5121BD06"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18A9B575"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258DB252"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148DF1E3"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2AFFBD34"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12EAF7EC"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3D9C9A9D" w14:textId="77777777" w:rsidR="002A4F9F" w:rsidRDefault="002A4F9F" w:rsidP="00E95F63">
      <w:pPr>
        <w:tabs>
          <w:tab w:val="num" w:pos="1440"/>
        </w:tabs>
        <w:spacing w:after="0" w:line="480" w:lineRule="auto"/>
        <w:jc w:val="both"/>
        <w:rPr>
          <w:rFonts w:ascii="Times New Roman" w:hAnsi="Times New Roman" w:cs="Times New Roman"/>
          <w:b/>
          <w:bCs/>
          <w:sz w:val="24"/>
          <w:szCs w:val="24"/>
          <w:lang w:val="en-US"/>
        </w:rPr>
      </w:pPr>
    </w:p>
    <w:p w14:paraId="1CEF2E00" w14:textId="797F608D" w:rsidR="00805740" w:rsidRPr="00E95F63" w:rsidRDefault="00805740" w:rsidP="00E95F63">
      <w:pPr>
        <w:tabs>
          <w:tab w:val="num" w:pos="1440"/>
        </w:tabs>
        <w:spacing w:after="0" w:line="480" w:lineRule="auto"/>
        <w:jc w:val="both"/>
        <w:rPr>
          <w:rFonts w:ascii="Times New Roman" w:hAnsi="Times New Roman" w:cs="Times New Roman"/>
          <w:b/>
          <w:bCs/>
          <w:sz w:val="24"/>
          <w:szCs w:val="24"/>
          <w:lang w:val="en-US"/>
        </w:rPr>
      </w:pPr>
      <w:r w:rsidRPr="00E95F63">
        <w:rPr>
          <w:rFonts w:ascii="Times New Roman" w:hAnsi="Times New Roman" w:cs="Times New Roman"/>
          <w:b/>
          <w:bCs/>
          <w:sz w:val="24"/>
          <w:szCs w:val="24"/>
          <w:lang w:val="en-US"/>
        </w:rPr>
        <w:lastRenderedPageBreak/>
        <w:t>Methods</w:t>
      </w:r>
    </w:p>
    <w:p w14:paraId="77FA4B30" w14:textId="40691418" w:rsidR="00466A58" w:rsidRPr="00E95F63" w:rsidRDefault="00F16D07" w:rsidP="00E95F63">
      <w:pPr>
        <w:tabs>
          <w:tab w:val="num" w:pos="1440"/>
        </w:tabs>
        <w:spacing w:after="0" w:line="480" w:lineRule="auto"/>
        <w:jc w:val="both"/>
        <w:rPr>
          <w:rFonts w:ascii="Times New Roman" w:hAnsi="Times New Roman" w:cs="Times New Roman"/>
          <w:sz w:val="24"/>
          <w:szCs w:val="24"/>
          <w:lang w:val="en-US"/>
        </w:rPr>
      </w:pPr>
      <w:r w:rsidRPr="00E95F63">
        <w:rPr>
          <w:rFonts w:ascii="Times New Roman" w:hAnsi="Times New Roman" w:cs="Times New Roman"/>
          <w:sz w:val="24"/>
          <w:szCs w:val="24"/>
          <w:lang w:val="en-US"/>
        </w:rPr>
        <w:t xml:space="preserve">Asthma exacerbations were defined as symptoms deterioration requiring the use of systemic corticosteroids with and/or hospital admission. </w:t>
      </w:r>
      <w:r w:rsidRPr="00E95F63">
        <w:rPr>
          <w:rFonts w:ascii="Times New Roman" w:hAnsi="Times New Roman" w:cs="Times New Roman"/>
          <w:sz w:val="24"/>
          <w:szCs w:val="24"/>
          <w:lang w:val="en-GB"/>
        </w:rPr>
        <w:t>Inclusion criteria were the following: age ≥18 years, uncontrolled severe (</w:t>
      </w:r>
      <w:r w:rsidRPr="00E95F63">
        <w:rPr>
          <w:rFonts w:ascii="Times New Roman" w:hAnsi="Times New Roman" w:cs="Times New Roman"/>
          <w:sz w:val="24"/>
          <w:szCs w:val="24"/>
          <w:lang w:val="en-US"/>
        </w:rPr>
        <w:t>characterized b</w:t>
      </w:r>
      <w:r w:rsidR="00403EDD">
        <w:rPr>
          <w:rFonts w:ascii="Times New Roman" w:hAnsi="Times New Roman" w:cs="Times New Roman"/>
          <w:sz w:val="24"/>
          <w:szCs w:val="24"/>
          <w:lang w:val="en-US"/>
        </w:rPr>
        <w:t>y an inadequate symptom control</w:t>
      </w:r>
      <w:r w:rsidRPr="00E95F63">
        <w:rPr>
          <w:rFonts w:ascii="Times New Roman" w:hAnsi="Times New Roman" w:cs="Times New Roman"/>
          <w:sz w:val="24"/>
          <w:szCs w:val="24"/>
          <w:lang w:val="en-US"/>
        </w:rPr>
        <w:t xml:space="preserve"> despite a continuous therapy with high doses of Inhaled corticosteroids (ICS) plus long-acting </w:t>
      </w:r>
      <w:r w:rsidRPr="00E95F63">
        <w:rPr>
          <w:rFonts w:ascii="Times New Roman" w:hAnsi="Times New Roman" w:cs="Times New Roman"/>
          <w:sz w:val="24"/>
          <w:szCs w:val="24"/>
        </w:rPr>
        <w:t>β</w:t>
      </w:r>
      <w:r w:rsidRPr="00E95F63">
        <w:rPr>
          <w:rFonts w:ascii="Times New Roman" w:hAnsi="Times New Roman" w:cs="Times New Roman"/>
          <w:sz w:val="24"/>
          <w:szCs w:val="24"/>
          <w:lang w:val="en-US"/>
        </w:rPr>
        <w:t>2-adrenergic agonists (LABA))</w:t>
      </w:r>
      <w:r w:rsidRPr="00E95F63">
        <w:rPr>
          <w:rFonts w:ascii="Times New Roman" w:hAnsi="Times New Roman" w:cs="Times New Roman"/>
          <w:sz w:val="24"/>
          <w:szCs w:val="24"/>
          <w:lang w:val="en-GB"/>
        </w:rPr>
        <w:t>, eosinophilic (peripheral blood eosinophils ≥150 cells/</w:t>
      </w:r>
      <w:proofErr w:type="spellStart"/>
      <w:r w:rsidRPr="00E95F63">
        <w:rPr>
          <w:rFonts w:ascii="Times New Roman" w:hAnsi="Times New Roman" w:cs="Times New Roman"/>
          <w:sz w:val="24"/>
          <w:szCs w:val="24"/>
          <w:lang w:val="en-GB"/>
        </w:rPr>
        <w:t>μL</w:t>
      </w:r>
      <w:proofErr w:type="spellEnd"/>
      <w:r w:rsidRPr="00E95F63">
        <w:rPr>
          <w:rFonts w:ascii="Times New Roman" w:hAnsi="Times New Roman" w:cs="Times New Roman"/>
          <w:sz w:val="24"/>
          <w:szCs w:val="24"/>
          <w:lang w:val="en-GB"/>
        </w:rPr>
        <w:t xml:space="preserve"> in a recent measurement or ≥300 cells/</w:t>
      </w:r>
      <w:proofErr w:type="spellStart"/>
      <w:r w:rsidRPr="00E95F63">
        <w:rPr>
          <w:rFonts w:ascii="Times New Roman" w:hAnsi="Times New Roman" w:cs="Times New Roman"/>
          <w:sz w:val="24"/>
          <w:szCs w:val="24"/>
          <w:lang w:val="en-GB"/>
        </w:rPr>
        <w:t>μL</w:t>
      </w:r>
      <w:proofErr w:type="spellEnd"/>
      <w:r w:rsidRPr="00E95F63">
        <w:rPr>
          <w:rFonts w:ascii="Times New Roman" w:hAnsi="Times New Roman" w:cs="Times New Roman"/>
          <w:sz w:val="24"/>
          <w:szCs w:val="24"/>
          <w:lang w:val="en-GB"/>
        </w:rPr>
        <w:t xml:space="preserve"> in any measurement during the previous year) asthma, initiation of treatment with mepolizumab according to physicians decision, and a history of at least 2 asthma exacerbations in the previous year despite optimal treatment with high doses of inhaled corticosteroids and β2 agonists. The only exclusion criterion was the patients’ refusal to participate in the study. </w:t>
      </w:r>
      <w:bookmarkStart w:id="1" w:name="_Hlk38215766"/>
      <w:r w:rsidRPr="00E95F63">
        <w:rPr>
          <w:rFonts w:ascii="Times New Roman" w:hAnsi="Times New Roman" w:cs="Times New Roman"/>
          <w:sz w:val="24"/>
          <w:szCs w:val="24"/>
          <w:lang w:val="en-US"/>
        </w:rPr>
        <w:t>The study was approved from all local ethic committees and all patients provided oral and written informed consent.</w:t>
      </w:r>
      <w:r w:rsidR="003F4279">
        <w:rPr>
          <w:rFonts w:ascii="Times New Roman" w:hAnsi="Times New Roman" w:cs="Times New Roman"/>
          <w:sz w:val="24"/>
          <w:szCs w:val="24"/>
          <w:lang w:val="en-US"/>
        </w:rPr>
        <w:t xml:space="preserve"> </w:t>
      </w:r>
      <w:bookmarkStart w:id="2" w:name="_Hlk38215719"/>
      <w:r w:rsidRPr="00E95F63">
        <w:rPr>
          <w:rFonts w:ascii="Times New Roman" w:hAnsi="Times New Roman" w:cs="Times New Roman"/>
          <w:sz w:val="24"/>
          <w:szCs w:val="24"/>
          <w:lang w:val="en-US"/>
        </w:rPr>
        <w:t>The study was registered in clinical trials.gov</w:t>
      </w:r>
      <w:r w:rsidR="00805740" w:rsidRPr="00E95F63">
        <w:rPr>
          <w:rFonts w:ascii="Times New Roman" w:hAnsi="Times New Roman" w:cs="Times New Roman"/>
          <w:sz w:val="24"/>
          <w:szCs w:val="24"/>
          <w:lang w:val="en-US"/>
        </w:rPr>
        <w:t xml:space="preserve">: </w:t>
      </w:r>
      <w:r w:rsidR="00466A58" w:rsidRPr="00E95F63">
        <w:rPr>
          <w:rFonts w:ascii="Times New Roman" w:hAnsi="Times New Roman" w:cs="Times New Roman"/>
          <w:sz w:val="24"/>
          <w:szCs w:val="24"/>
          <w:lang w:val="en-US"/>
        </w:rPr>
        <w:t>ClinicalTrials.gov Identifier: NCT04084613</w:t>
      </w:r>
      <w:r w:rsidR="00805740" w:rsidRPr="00E95F63">
        <w:rPr>
          <w:rFonts w:ascii="Times New Roman" w:hAnsi="Times New Roman" w:cs="Times New Roman"/>
          <w:sz w:val="24"/>
          <w:szCs w:val="24"/>
          <w:lang w:val="en-US"/>
        </w:rPr>
        <w:t xml:space="preserve">. </w:t>
      </w:r>
    </w:p>
    <w:bookmarkEnd w:id="1"/>
    <w:bookmarkEnd w:id="2"/>
    <w:p w14:paraId="070567D8" w14:textId="7D58ED90" w:rsidR="00E95F63" w:rsidRPr="00E95F63" w:rsidRDefault="00E95F63" w:rsidP="00E95F63">
      <w:pPr>
        <w:tabs>
          <w:tab w:val="num" w:pos="1440"/>
        </w:tabs>
        <w:spacing w:after="0" w:line="480" w:lineRule="auto"/>
        <w:jc w:val="both"/>
        <w:rPr>
          <w:rFonts w:ascii="Times New Roman" w:hAnsi="Times New Roman" w:cs="Times New Roman"/>
          <w:b/>
          <w:bCs/>
          <w:sz w:val="24"/>
          <w:szCs w:val="24"/>
          <w:lang w:val="en-US"/>
        </w:rPr>
      </w:pPr>
      <w:r w:rsidRPr="00E95F63">
        <w:rPr>
          <w:rFonts w:ascii="Times New Roman" w:hAnsi="Times New Roman" w:cs="Times New Roman"/>
          <w:b/>
          <w:bCs/>
          <w:sz w:val="24"/>
          <w:szCs w:val="24"/>
          <w:lang w:val="en-US"/>
        </w:rPr>
        <w:t>Study design</w:t>
      </w:r>
    </w:p>
    <w:p w14:paraId="579EB588" w14:textId="77AFFEA4" w:rsidR="00E95F63" w:rsidRPr="00E51D3E" w:rsidRDefault="00E95F63" w:rsidP="00E95F63">
      <w:pPr>
        <w:tabs>
          <w:tab w:val="num" w:pos="1440"/>
        </w:tabs>
        <w:spacing w:after="0" w:line="480" w:lineRule="auto"/>
        <w:jc w:val="both"/>
        <w:rPr>
          <w:rFonts w:ascii="Times New Roman" w:hAnsi="Times New Roman" w:cs="Times New Roman"/>
          <w:sz w:val="24"/>
          <w:szCs w:val="24"/>
          <w:lang w:val="en-GB"/>
        </w:rPr>
      </w:pPr>
      <w:r w:rsidRPr="00E95F63">
        <w:rPr>
          <w:rFonts w:ascii="Times New Roman" w:hAnsi="Times New Roman" w:cs="Times New Roman"/>
          <w:sz w:val="24"/>
          <w:szCs w:val="24"/>
          <w:lang w:val="en-GB"/>
        </w:rPr>
        <w:t xml:space="preserve">During screening, the physician recorded the patients’ demographics, medical history, usual medication (including OCS), exacerbation history, asthma control Test (ACT) score, pulmonary function </w:t>
      </w:r>
      <w:r w:rsidR="00B336D3" w:rsidRPr="00B336D3">
        <w:rPr>
          <w:rFonts w:ascii="Times New Roman" w:hAnsi="Times New Roman" w:cs="Times New Roman"/>
          <w:color w:val="000000" w:themeColor="text1"/>
          <w:sz w:val="24"/>
          <w:szCs w:val="24"/>
          <w:lang w:val="en-GB"/>
        </w:rPr>
        <w:t>(simple spirometry)</w:t>
      </w:r>
      <w:r w:rsidRPr="00B336D3">
        <w:rPr>
          <w:rFonts w:ascii="Times New Roman" w:hAnsi="Times New Roman" w:cs="Times New Roman"/>
          <w:color w:val="000000" w:themeColor="text1"/>
          <w:sz w:val="24"/>
          <w:szCs w:val="24"/>
          <w:lang w:val="en-GB"/>
        </w:rPr>
        <w:t xml:space="preserve"> </w:t>
      </w:r>
      <w:r w:rsidRPr="00E95F63">
        <w:rPr>
          <w:rFonts w:ascii="Times New Roman" w:hAnsi="Times New Roman" w:cs="Times New Roman"/>
          <w:sz w:val="24"/>
          <w:szCs w:val="24"/>
          <w:lang w:val="en-GB"/>
        </w:rPr>
        <w:t>and blood eosinophils in the most recent Complete Blood Count (CBC) as % and absolute count. All aforementioned information was also recorded 4, 8 and 12 months after mepolizumab treatment initiation.</w:t>
      </w:r>
      <w:r w:rsidR="00E51D3E" w:rsidRPr="00E51D3E">
        <w:rPr>
          <w:rFonts w:ascii="Arial" w:eastAsia="Calibri" w:hAnsi="Arial" w:cs="Arial"/>
          <w:color w:val="000000"/>
          <w:sz w:val="24"/>
          <w:szCs w:val="24"/>
          <w:lang w:val="en-GB"/>
        </w:rPr>
        <w:t xml:space="preserve"> </w:t>
      </w:r>
      <w:r w:rsidR="00E51D3E" w:rsidRPr="00E51D3E">
        <w:rPr>
          <w:rFonts w:ascii="Times New Roman" w:eastAsia="Calibri" w:hAnsi="Times New Roman" w:cs="Times New Roman"/>
          <w:color w:val="000000"/>
          <w:sz w:val="24"/>
          <w:szCs w:val="24"/>
          <w:lang w:val="en-GB"/>
        </w:rPr>
        <w:t xml:space="preserve">Mepolizumab </w:t>
      </w:r>
      <w:r w:rsidR="00E51D3E" w:rsidRPr="00E51D3E">
        <w:rPr>
          <w:rFonts w:ascii="Times New Roman" w:eastAsia="Calibri" w:hAnsi="Times New Roman" w:cs="Times New Roman"/>
          <w:sz w:val="24"/>
          <w:szCs w:val="24"/>
          <w:lang w:val="en-GB"/>
        </w:rPr>
        <w:t>was administered at the dosage of 100 mg every 4 weeks for at least a year.</w:t>
      </w:r>
    </w:p>
    <w:p w14:paraId="590865E3" w14:textId="77777777" w:rsidR="00E95F63" w:rsidRPr="00E95F63" w:rsidRDefault="00E95F63" w:rsidP="00E95F63">
      <w:pPr>
        <w:spacing w:after="0" w:line="480" w:lineRule="auto"/>
        <w:jc w:val="both"/>
        <w:rPr>
          <w:rFonts w:ascii="Times New Roman" w:hAnsi="Times New Roman" w:cs="Times New Roman"/>
          <w:b/>
          <w:bCs/>
          <w:color w:val="000000" w:themeColor="text1"/>
          <w:sz w:val="24"/>
          <w:szCs w:val="24"/>
          <w:lang w:val="en-US"/>
        </w:rPr>
      </w:pPr>
      <w:r w:rsidRPr="00E95F63">
        <w:rPr>
          <w:rFonts w:ascii="Times New Roman" w:hAnsi="Times New Roman" w:cs="Times New Roman"/>
          <w:b/>
          <w:bCs/>
          <w:color w:val="000000" w:themeColor="text1"/>
          <w:sz w:val="24"/>
          <w:szCs w:val="24"/>
          <w:lang w:val="en-US"/>
        </w:rPr>
        <w:t>Lung function tests</w:t>
      </w:r>
    </w:p>
    <w:p w14:paraId="0D9B68CE" w14:textId="3396D89D" w:rsidR="00E95F63" w:rsidRDefault="00E95F63" w:rsidP="00E95F63">
      <w:pPr>
        <w:spacing w:after="0" w:line="480" w:lineRule="auto"/>
        <w:jc w:val="both"/>
        <w:rPr>
          <w:rFonts w:ascii="Times New Roman" w:hAnsi="Times New Roman" w:cs="Times New Roman"/>
          <w:color w:val="000000" w:themeColor="text1"/>
          <w:sz w:val="24"/>
          <w:szCs w:val="24"/>
          <w:lang w:val="en-US"/>
        </w:rPr>
      </w:pPr>
      <w:r w:rsidRPr="000E330E">
        <w:rPr>
          <w:rFonts w:ascii="Times New Roman" w:hAnsi="Times New Roman" w:cs="Times New Roman"/>
          <w:color w:val="000000" w:themeColor="text1"/>
          <w:sz w:val="24"/>
          <w:szCs w:val="24"/>
          <w:lang w:val="en-US"/>
        </w:rPr>
        <w:lastRenderedPageBreak/>
        <w:t>Forced Expiratory Volume in 1</w:t>
      </w:r>
      <w:r w:rsidRPr="000E330E">
        <w:rPr>
          <w:rFonts w:ascii="Times New Roman" w:hAnsi="Times New Roman" w:cs="Times New Roman"/>
          <w:color w:val="000000" w:themeColor="text1"/>
          <w:sz w:val="24"/>
          <w:szCs w:val="24"/>
          <w:vertAlign w:val="superscript"/>
          <w:lang w:val="en-US"/>
        </w:rPr>
        <w:t>st</w:t>
      </w:r>
      <w:r w:rsidRPr="000E330E">
        <w:rPr>
          <w:rFonts w:ascii="Times New Roman" w:hAnsi="Times New Roman" w:cs="Times New Roman"/>
          <w:color w:val="000000" w:themeColor="text1"/>
          <w:sz w:val="24"/>
          <w:szCs w:val="24"/>
          <w:lang w:val="en-US"/>
        </w:rPr>
        <w:t xml:space="preserve"> sec (FEV1) and Forced Vital Capacity (FVC), were measured using </w:t>
      </w:r>
      <w:r>
        <w:rPr>
          <w:rFonts w:ascii="Times New Roman" w:hAnsi="Times New Roman" w:cs="Times New Roman"/>
          <w:color w:val="000000" w:themeColor="text1"/>
          <w:sz w:val="24"/>
          <w:szCs w:val="24"/>
          <w:lang w:val="en-US"/>
        </w:rPr>
        <w:t>different spirometers. All values were post bronchodilation.</w:t>
      </w:r>
    </w:p>
    <w:p w14:paraId="7F559722" w14:textId="3A9BFF3C" w:rsidR="00E95F63" w:rsidRPr="000E330E" w:rsidRDefault="00E95F63" w:rsidP="00E95F63">
      <w:pPr>
        <w:spacing w:after="0" w:line="480" w:lineRule="auto"/>
        <w:jc w:val="both"/>
        <w:rPr>
          <w:rFonts w:ascii="Times New Roman" w:hAnsi="Times New Roman" w:cs="Times New Roman"/>
          <w:b/>
          <w:i/>
          <w:color w:val="000000" w:themeColor="text1"/>
          <w:sz w:val="24"/>
          <w:szCs w:val="24"/>
          <w:lang w:val="en-US"/>
        </w:rPr>
      </w:pPr>
      <w:r w:rsidRPr="000E330E">
        <w:rPr>
          <w:rFonts w:ascii="Times New Roman" w:hAnsi="Times New Roman" w:cs="Times New Roman"/>
          <w:b/>
          <w:i/>
          <w:color w:val="000000" w:themeColor="text1"/>
          <w:sz w:val="24"/>
          <w:szCs w:val="24"/>
          <w:lang w:val="en-US"/>
        </w:rPr>
        <w:t>Atopic Status</w:t>
      </w:r>
    </w:p>
    <w:p w14:paraId="1193E28C" w14:textId="7DB0968D" w:rsidR="00E95F63" w:rsidRPr="000E330E" w:rsidRDefault="00E95F63" w:rsidP="00E95F63">
      <w:pPr>
        <w:autoSpaceDE w:val="0"/>
        <w:autoSpaceDN w:val="0"/>
        <w:adjustRightInd w:val="0"/>
        <w:spacing w:after="0" w:line="480" w:lineRule="auto"/>
        <w:jc w:val="both"/>
        <w:rPr>
          <w:rFonts w:ascii="Times New Roman" w:hAnsi="Times New Roman" w:cs="Times New Roman"/>
          <w:color w:val="000000" w:themeColor="text1"/>
          <w:sz w:val="24"/>
          <w:szCs w:val="24"/>
          <w:lang w:val="en-US"/>
        </w:rPr>
      </w:pPr>
      <w:bookmarkStart w:id="3" w:name="_Hlk39253879"/>
      <w:r w:rsidRPr="000E330E">
        <w:rPr>
          <w:rFonts w:ascii="Times New Roman" w:hAnsi="Times New Roman" w:cs="Times New Roman"/>
          <w:color w:val="000000" w:themeColor="text1"/>
          <w:sz w:val="24"/>
          <w:szCs w:val="24"/>
          <w:lang w:val="en-US"/>
        </w:rPr>
        <w:t>A positive skin prick test (mean wheal diameter of 3mm or greater) to any of twenty common aeroallergens (including mites, grasses, trees, fungus, domestic animals) guided by clinical symptoms</w:t>
      </w:r>
      <w:r>
        <w:rPr>
          <w:rFonts w:ascii="Times New Roman" w:hAnsi="Times New Roman" w:cs="Times New Roman"/>
          <w:color w:val="000000" w:themeColor="text1"/>
          <w:sz w:val="24"/>
          <w:szCs w:val="24"/>
          <w:lang w:val="en-US"/>
        </w:rPr>
        <w:t xml:space="preserve"> </w:t>
      </w:r>
      <w:r w:rsidRPr="000E330E">
        <w:rPr>
          <w:rFonts w:ascii="Times New Roman" w:hAnsi="Times New Roman" w:cs="Times New Roman"/>
          <w:color w:val="000000" w:themeColor="text1"/>
          <w:sz w:val="24"/>
          <w:szCs w:val="24"/>
          <w:lang w:val="en-US"/>
        </w:rPr>
        <w:t>was used to confirm atopy.</w:t>
      </w:r>
      <w:r>
        <w:rPr>
          <w:rFonts w:ascii="Times New Roman" w:hAnsi="Times New Roman" w:cs="Times New Roman"/>
          <w:color w:val="000000" w:themeColor="text1"/>
          <w:sz w:val="24"/>
          <w:szCs w:val="24"/>
          <w:lang w:val="en-US"/>
        </w:rPr>
        <w:t xml:space="preserve"> </w:t>
      </w:r>
      <w:bookmarkEnd w:id="3"/>
      <w:r>
        <w:rPr>
          <w:rFonts w:ascii="Times New Roman" w:hAnsi="Times New Roman" w:cs="Times New Roman"/>
          <w:color w:val="000000" w:themeColor="text1"/>
          <w:sz w:val="24"/>
          <w:szCs w:val="24"/>
          <w:lang w:val="en-US"/>
        </w:rPr>
        <w:t xml:space="preserve">Data was retrieved from </w:t>
      </w:r>
      <w:r w:rsidR="00972745">
        <w:rPr>
          <w:rFonts w:ascii="Times New Roman" w:hAnsi="Times New Roman" w:cs="Times New Roman"/>
          <w:color w:val="000000" w:themeColor="text1"/>
          <w:sz w:val="24"/>
          <w:szCs w:val="24"/>
          <w:lang w:val="en-US"/>
        </w:rPr>
        <w:t>patients’</w:t>
      </w:r>
      <w:r>
        <w:rPr>
          <w:rFonts w:ascii="Times New Roman" w:hAnsi="Times New Roman" w:cs="Times New Roman"/>
          <w:color w:val="000000" w:themeColor="text1"/>
          <w:sz w:val="24"/>
          <w:szCs w:val="24"/>
          <w:lang w:val="en-US"/>
        </w:rPr>
        <w:t xml:space="preserve"> medical records.</w:t>
      </w:r>
    </w:p>
    <w:p w14:paraId="137EB795" w14:textId="547724CE" w:rsidR="00E95F63" w:rsidRPr="00972745" w:rsidRDefault="00972745" w:rsidP="00E95F63">
      <w:pPr>
        <w:tabs>
          <w:tab w:val="num" w:pos="1440"/>
        </w:tabs>
        <w:spacing w:after="0" w:line="480" w:lineRule="auto"/>
        <w:jc w:val="both"/>
        <w:rPr>
          <w:rFonts w:ascii="Times New Roman" w:hAnsi="Times New Roman" w:cs="Times New Roman"/>
          <w:b/>
          <w:bCs/>
          <w:sz w:val="24"/>
          <w:szCs w:val="24"/>
          <w:lang w:val="en-US"/>
        </w:rPr>
      </w:pPr>
      <w:r w:rsidRPr="00972745">
        <w:rPr>
          <w:rFonts w:ascii="Times New Roman" w:hAnsi="Times New Roman" w:cs="Times New Roman"/>
          <w:b/>
          <w:bCs/>
          <w:sz w:val="24"/>
          <w:szCs w:val="24"/>
          <w:lang w:val="en-US"/>
        </w:rPr>
        <w:t>Statistical analysis</w:t>
      </w:r>
    </w:p>
    <w:p w14:paraId="1B37BAC3" w14:textId="4C81D545" w:rsidR="00D951AD" w:rsidRPr="00D951AD" w:rsidRDefault="00E51D3E" w:rsidP="00D951AD">
      <w:pPr>
        <w:widowControl w:val="0"/>
        <w:spacing w:after="0" w:line="480" w:lineRule="auto"/>
        <w:ind w:right="187"/>
        <w:jc w:val="both"/>
        <w:rPr>
          <w:rFonts w:ascii="Times New Roman" w:eastAsia="Calibri" w:hAnsi="Times New Roman" w:cs="Times New Roman"/>
          <w:color w:val="000000"/>
          <w:sz w:val="24"/>
          <w:szCs w:val="24"/>
          <w:lang w:val="en-US"/>
        </w:rPr>
      </w:pPr>
      <w:bookmarkStart w:id="4" w:name="_Toc294610514"/>
      <w:bookmarkStart w:id="5" w:name="_Toc301337233"/>
      <w:bookmarkStart w:id="6" w:name="_Toc301343278"/>
      <w:bookmarkStart w:id="7" w:name="_Toc301376693"/>
      <w:bookmarkStart w:id="8" w:name="_Toc305490809"/>
      <w:bookmarkStart w:id="9" w:name="_Toc306804758"/>
      <w:bookmarkStart w:id="10" w:name="_Toc320090163"/>
      <w:bookmarkStart w:id="11" w:name="_Toc511894320"/>
      <w:bookmarkStart w:id="12" w:name="_Toc512346292"/>
      <w:r w:rsidRPr="00E51D3E">
        <w:rPr>
          <w:rFonts w:ascii="Times New Roman" w:eastAsia="Calibri" w:hAnsi="Times New Roman" w:cs="Times New Roman"/>
          <w:color w:val="000000"/>
          <w:sz w:val="24"/>
          <w:szCs w:val="24"/>
          <w:lang w:val="en-GB"/>
        </w:rPr>
        <w:t xml:space="preserve">All patients enrolled </w:t>
      </w:r>
      <w:bookmarkStart w:id="13" w:name="_Toc294610515"/>
      <w:bookmarkStart w:id="14" w:name="_Toc301337234"/>
      <w:bookmarkStart w:id="15" w:name="_Toc301343279"/>
      <w:bookmarkStart w:id="16" w:name="_Toc301376694"/>
      <w:bookmarkStart w:id="17" w:name="_Toc305490808"/>
      <w:r w:rsidRPr="00E51D3E">
        <w:rPr>
          <w:rFonts w:ascii="Times New Roman" w:eastAsia="Calibri" w:hAnsi="Times New Roman" w:cs="Times New Roman"/>
          <w:color w:val="000000"/>
          <w:sz w:val="24"/>
          <w:szCs w:val="24"/>
          <w:lang w:val="en-GB"/>
        </w:rPr>
        <w:t xml:space="preserve">with the objective to be treated with mepolizumab for at least a year. The baseline is defined as the measured period preceding the starting date of add-on treatment with mepolizumab. For the purpose of this interim analysis, description and analysis of clinical benefit were primarily conducted on patients who have continued mepolizumab treatment for 12 months (per protocol analysis).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E51D3E">
        <w:rPr>
          <w:rFonts w:ascii="Times New Roman" w:eastAsia="Calibri" w:hAnsi="Times New Roman" w:cs="Times New Roman"/>
          <w:color w:val="000000"/>
          <w:sz w:val="24"/>
          <w:szCs w:val="24"/>
          <w:lang w:val="en-GB"/>
        </w:rPr>
        <w:t xml:space="preserve">Analysis was performed using available data. No data imputation was performed. The missing data were data that were not recorded in the database. Adverse Event (AE) shall mean any untoward medical occurrence to have been identified. </w:t>
      </w:r>
      <w:r w:rsidR="00D951AD" w:rsidRPr="00F96873">
        <w:rPr>
          <w:rFonts w:ascii="Times New Roman" w:eastAsia="Calibri" w:hAnsi="Times New Roman" w:cs="Times New Roman"/>
          <w:color w:val="000000"/>
          <w:sz w:val="24"/>
          <w:szCs w:val="24"/>
          <w:u w:val="single"/>
          <w:lang w:val="en-US"/>
        </w:rPr>
        <w:t xml:space="preserve">In order to evaluate the target sample size, a power analysis was performed using the PS Power and Sample Calculation Program </w:t>
      </w:r>
      <w:r w:rsidR="00D951AD" w:rsidRPr="00F96873">
        <w:rPr>
          <w:rFonts w:ascii="Times New Roman" w:eastAsia="Calibri" w:hAnsi="Times New Roman" w:cs="Times New Roman"/>
          <w:color w:val="000000" w:themeColor="text1"/>
          <w:sz w:val="24"/>
          <w:szCs w:val="24"/>
          <w:u w:val="single"/>
          <w:lang w:val="en-US"/>
        </w:rPr>
        <w:fldChar w:fldCharType="begin"/>
      </w:r>
      <w:r w:rsidR="00D951AD" w:rsidRPr="00F96873">
        <w:rPr>
          <w:rFonts w:ascii="Times New Roman" w:eastAsia="Calibri" w:hAnsi="Times New Roman" w:cs="Times New Roman"/>
          <w:color w:val="000000" w:themeColor="text1"/>
          <w:sz w:val="24"/>
          <w:szCs w:val="24"/>
          <w:u w:val="single"/>
          <w:lang w:val="en-US"/>
        </w:rPr>
        <w:instrText xml:space="preserve"> ADDIN EN.CITE &lt;EndNote&gt;&lt;Cite&gt;&lt;Author&gt;Dupont&lt;/Author&gt;&lt;Year&gt;1990&lt;/Year&gt;&lt;RecNum&gt;642&lt;/RecNum&gt;&lt;DisplayText&gt;(1)&lt;/DisplayText&gt;&lt;record&gt;&lt;rec-number&gt;642&lt;/rec-number&gt;&lt;foreign-keys&gt;&lt;key app="EN" db-id="pzrxs0tw8ddrv1ew0eb5052zx99xtrxzrat0"&gt;642&lt;/key&gt;&lt;/foreign-keys&gt;&lt;ref-type name="Journal Article"&gt;17&lt;/ref-type&gt;&lt;contributors&gt;&lt;authors&gt;&lt;author&gt;Dupont, W. D.&lt;/author&gt;&lt;author&gt;Plummer, W. D., Jr.&lt;/author&gt;&lt;/authors&gt;&lt;/contributors&gt;&lt;auth-address&gt;Department of Preventive Medicine, Vanderbilt University School of Medicine, Nashville, Tennessee 37232-2637.&lt;/auth-address&gt;&lt;titles&gt;&lt;title&gt;Power and sample size calculations. A review and computer program&lt;/title&gt;&lt;secondary-title&gt;Control Clin Trials&lt;/secondary-title&gt;&lt;/titles&gt;&lt;pages&gt;116-28&lt;/pages&gt;&lt;volume&gt;11&lt;/volume&gt;&lt;number&gt;2&lt;/number&gt;&lt;edition&gt;1990/04/01&lt;/edition&gt;&lt;keywords&gt;&lt;keyword&gt;Case-Control Studies&lt;/keyword&gt;&lt;keyword&gt;Clinical Trials as Topic&lt;/keyword&gt;&lt;keyword&gt;Cohort Studies&lt;/keyword&gt;&lt;keyword&gt;Humans&lt;/keyword&gt;&lt;keyword&gt;Normal Distribution&lt;/keyword&gt;&lt;keyword&gt;Probability&lt;/keyword&gt;&lt;keyword&gt;Randomized Controlled Trials as Topic&lt;/keyword&gt;&lt;keyword&gt;*Research Design&lt;/keyword&gt;&lt;keyword&gt;*Sampling Studies&lt;/keyword&gt;&lt;keyword&gt;*Software&lt;/keyword&gt;&lt;keyword&gt;Survival Analysis&lt;/keyword&gt;&lt;/keywords&gt;&lt;dates&gt;&lt;year&gt;1990&lt;/year&gt;&lt;pub-dates&gt;&lt;date&gt;Apr&lt;/date&gt;&lt;/pub-dates&gt;&lt;/dates&gt;&lt;isbn&gt;0197-2456 (Print)&amp;#xD;0197-2456 (Linking)&lt;/isbn&gt;&lt;accession-num&gt;2161310&lt;/accession-num&gt;&lt;urls&gt;&lt;related-urls&gt;&lt;url&gt;http://www.ncbi.nlm.nih.gov/pubmed/2161310&lt;/url&gt;&lt;/related-urls&gt;&lt;/urls&gt;&lt;electronic-resource-num&gt;0197-2456(90)90005-M [pii]&lt;/electronic-resource-num&gt;&lt;language&gt;eng&lt;/language&gt;&lt;/record&gt;&lt;/Cite&gt;&lt;/EndNote&gt;</w:instrText>
      </w:r>
      <w:r w:rsidR="00D951AD" w:rsidRPr="00F96873">
        <w:rPr>
          <w:rFonts w:ascii="Times New Roman" w:eastAsia="Calibri" w:hAnsi="Times New Roman" w:cs="Times New Roman"/>
          <w:color w:val="000000" w:themeColor="text1"/>
          <w:sz w:val="24"/>
          <w:szCs w:val="24"/>
          <w:u w:val="single"/>
          <w:lang w:val="en-US"/>
        </w:rPr>
        <w:fldChar w:fldCharType="separate"/>
      </w:r>
      <w:r w:rsidR="00F96873">
        <w:rPr>
          <w:rFonts w:ascii="Times New Roman" w:eastAsia="Calibri" w:hAnsi="Times New Roman" w:cs="Times New Roman"/>
          <w:color w:val="000000" w:themeColor="text1"/>
          <w:sz w:val="24"/>
          <w:szCs w:val="24"/>
          <w:u w:val="single"/>
          <w:lang w:val="en-US"/>
        </w:rPr>
        <w:t>[</w:t>
      </w:r>
      <w:hyperlink w:anchor="_ENREF_1" w:tooltip="Dupont, 1990 #642" w:history="1">
        <w:r w:rsidR="00D951AD" w:rsidRPr="00F96873">
          <w:rPr>
            <w:rStyle w:val="-"/>
            <w:rFonts w:ascii="Times New Roman" w:eastAsia="Calibri" w:hAnsi="Times New Roman" w:cs="Times New Roman"/>
            <w:color w:val="000000" w:themeColor="text1"/>
            <w:sz w:val="24"/>
            <w:szCs w:val="24"/>
            <w:lang w:val="en-US"/>
          </w:rPr>
          <w:t>1</w:t>
        </w:r>
      </w:hyperlink>
      <w:r w:rsidR="00F96873">
        <w:rPr>
          <w:rFonts w:ascii="Times New Roman" w:eastAsia="Calibri" w:hAnsi="Times New Roman" w:cs="Times New Roman"/>
          <w:color w:val="000000" w:themeColor="text1"/>
          <w:sz w:val="24"/>
          <w:szCs w:val="24"/>
          <w:u w:val="single"/>
          <w:lang w:val="en-GB"/>
        </w:rPr>
        <w:t>]</w:t>
      </w:r>
      <w:r w:rsidR="00D951AD" w:rsidRPr="00F96873">
        <w:rPr>
          <w:rFonts w:ascii="Times New Roman" w:eastAsia="Calibri" w:hAnsi="Times New Roman" w:cs="Times New Roman"/>
          <w:color w:val="000000" w:themeColor="text1"/>
          <w:sz w:val="24"/>
          <w:szCs w:val="24"/>
          <w:u w:val="single"/>
          <w:lang w:val="en-GB"/>
        </w:rPr>
        <w:fldChar w:fldCharType="end"/>
      </w:r>
      <w:r w:rsidR="00D951AD" w:rsidRPr="00F96873">
        <w:rPr>
          <w:rFonts w:ascii="Times New Roman" w:eastAsia="Calibri" w:hAnsi="Times New Roman" w:cs="Times New Roman"/>
          <w:color w:val="000000" w:themeColor="text1"/>
          <w:sz w:val="24"/>
          <w:szCs w:val="24"/>
          <w:u w:val="single"/>
          <w:lang w:val="en-US"/>
        </w:rPr>
        <w:t xml:space="preserve">, based on data from a previous study of mepolizumab an effect size of 0.35, based on an exacerbation reduction of 55% of asthma exacerbations after one year of treatment </w:t>
      </w:r>
      <w:r w:rsidR="00D951AD" w:rsidRPr="00F96873">
        <w:rPr>
          <w:rFonts w:ascii="Times New Roman" w:eastAsia="Calibri" w:hAnsi="Times New Roman" w:cs="Times New Roman"/>
          <w:color w:val="000000" w:themeColor="text1"/>
          <w:sz w:val="24"/>
          <w:szCs w:val="24"/>
          <w:u w:val="single"/>
          <w:lang w:val="en-US"/>
        </w:rPr>
        <w:fldChar w:fldCharType="begin">
          <w:fldData xml:space="preserve">PEVuZE5vdGU+PENpdGU+PEF1dGhvcj5PcnRlZ2E8L0F1dGhvcj48WWVhcj4yMDE0PC9ZZWFyPjxS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</w:fldData>
        </w:fldChar>
      </w:r>
      <w:r w:rsidR="00D951AD" w:rsidRPr="00F96873">
        <w:rPr>
          <w:rFonts w:ascii="Times New Roman" w:eastAsia="Calibri" w:hAnsi="Times New Roman" w:cs="Times New Roman"/>
          <w:color w:val="000000" w:themeColor="text1"/>
          <w:sz w:val="24"/>
          <w:szCs w:val="24"/>
          <w:u w:val="single"/>
          <w:lang w:val="en-US"/>
        </w:rPr>
        <w:instrText xml:space="preserve"> ADDIN EN.CITE </w:instrText>
      </w:r>
      <w:r w:rsidR="00D951AD" w:rsidRPr="00F96873">
        <w:rPr>
          <w:rFonts w:ascii="Times New Roman" w:eastAsia="Calibri" w:hAnsi="Times New Roman" w:cs="Times New Roman"/>
          <w:color w:val="000000" w:themeColor="text1"/>
          <w:sz w:val="24"/>
          <w:szCs w:val="24"/>
          <w:u w:val="single"/>
          <w:lang w:val="en-US"/>
        </w:rPr>
        <w:fldChar w:fldCharType="begin">
          <w:fldData xml:space="preserve">PEVuZE5vdGU+PENpdGU+PEF1dGhvcj5PcnRlZ2E8L0F1dGhvcj48WWVhcj4yMDE0PC9ZZWFyPjxS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</w:fldData>
        </w:fldChar>
      </w:r>
      <w:r w:rsidR="00D951AD" w:rsidRPr="00F96873">
        <w:rPr>
          <w:rFonts w:ascii="Times New Roman" w:eastAsia="Calibri" w:hAnsi="Times New Roman" w:cs="Times New Roman"/>
          <w:color w:val="000000" w:themeColor="text1"/>
          <w:sz w:val="24"/>
          <w:szCs w:val="24"/>
          <w:u w:val="single"/>
          <w:lang w:val="en-US"/>
        </w:rPr>
        <w:instrText xml:space="preserve"> ADDIN EN.CITE.DATA </w:instrText>
      </w:r>
      <w:r w:rsidR="00D951AD" w:rsidRPr="00F96873">
        <w:rPr>
          <w:rFonts w:ascii="Times New Roman" w:eastAsia="Calibri" w:hAnsi="Times New Roman" w:cs="Times New Roman"/>
          <w:color w:val="000000" w:themeColor="text1"/>
          <w:sz w:val="24"/>
          <w:szCs w:val="24"/>
          <w:u w:val="single"/>
          <w:lang w:val="en-GB"/>
        </w:rPr>
      </w:r>
      <w:r w:rsidR="00D951AD" w:rsidRPr="00F96873">
        <w:rPr>
          <w:rFonts w:ascii="Times New Roman" w:eastAsia="Calibri" w:hAnsi="Times New Roman" w:cs="Times New Roman"/>
          <w:color w:val="000000" w:themeColor="text1"/>
          <w:sz w:val="24"/>
          <w:szCs w:val="24"/>
          <w:u w:val="single"/>
          <w:lang w:val="en-GB"/>
        </w:rPr>
        <w:fldChar w:fldCharType="end"/>
      </w:r>
      <w:r w:rsidR="00D951AD" w:rsidRPr="00F96873">
        <w:rPr>
          <w:rFonts w:ascii="Times New Roman" w:eastAsia="Calibri" w:hAnsi="Times New Roman" w:cs="Times New Roman"/>
          <w:color w:val="000000" w:themeColor="text1"/>
          <w:sz w:val="24"/>
          <w:szCs w:val="24"/>
          <w:u w:val="single"/>
          <w:lang w:val="en-US"/>
        </w:rPr>
      </w:r>
      <w:r w:rsidR="00D951AD" w:rsidRPr="00F96873">
        <w:rPr>
          <w:rFonts w:ascii="Times New Roman" w:eastAsia="Calibri" w:hAnsi="Times New Roman" w:cs="Times New Roman"/>
          <w:color w:val="000000" w:themeColor="text1"/>
          <w:sz w:val="24"/>
          <w:szCs w:val="24"/>
          <w:u w:val="single"/>
          <w:lang w:val="en-US"/>
        </w:rPr>
        <w:fldChar w:fldCharType="separate"/>
      </w:r>
      <w:r w:rsidR="00F96873">
        <w:rPr>
          <w:rFonts w:ascii="Times New Roman" w:eastAsia="Calibri" w:hAnsi="Times New Roman" w:cs="Times New Roman"/>
          <w:color w:val="000000" w:themeColor="text1"/>
          <w:sz w:val="24"/>
          <w:szCs w:val="24"/>
          <w:u w:val="single"/>
          <w:lang w:val="en-US"/>
        </w:rPr>
        <w:t>[</w:t>
      </w:r>
      <w:hyperlink w:anchor="_ENREF_2" w:tooltip="Ortega, 2014 #44" w:history="1">
        <w:r w:rsidR="00D951AD" w:rsidRPr="00F96873">
          <w:rPr>
            <w:rStyle w:val="-"/>
            <w:rFonts w:ascii="Times New Roman" w:eastAsia="Calibri" w:hAnsi="Times New Roman" w:cs="Times New Roman"/>
            <w:color w:val="000000" w:themeColor="text1"/>
            <w:sz w:val="24"/>
            <w:szCs w:val="24"/>
            <w:lang w:val="en-US"/>
          </w:rPr>
          <w:t>2</w:t>
        </w:r>
      </w:hyperlink>
      <w:r w:rsidR="00D951AD" w:rsidRPr="00F96873">
        <w:rPr>
          <w:rFonts w:ascii="Times New Roman" w:eastAsia="Calibri" w:hAnsi="Times New Roman" w:cs="Times New Roman"/>
          <w:color w:val="000000" w:themeColor="text1"/>
          <w:sz w:val="24"/>
          <w:szCs w:val="24"/>
          <w:u w:val="single"/>
          <w:lang w:val="en-GB"/>
        </w:rPr>
        <w:fldChar w:fldCharType="end"/>
      </w:r>
      <w:r w:rsidR="00F96873">
        <w:rPr>
          <w:rFonts w:ascii="Times New Roman" w:eastAsia="Calibri" w:hAnsi="Times New Roman" w:cs="Times New Roman"/>
          <w:color w:val="000000" w:themeColor="text1"/>
          <w:sz w:val="24"/>
          <w:szCs w:val="24"/>
          <w:u w:val="single"/>
          <w:lang w:val="en-GB"/>
        </w:rPr>
        <w:t>]</w:t>
      </w:r>
      <w:r w:rsidR="00D951AD" w:rsidRPr="00F96873">
        <w:rPr>
          <w:rFonts w:ascii="Times New Roman" w:eastAsia="Calibri" w:hAnsi="Times New Roman" w:cs="Times New Roman"/>
          <w:color w:val="000000" w:themeColor="text1"/>
          <w:sz w:val="24"/>
          <w:szCs w:val="24"/>
          <w:u w:val="single"/>
          <w:lang w:val="en-US"/>
        </w:rPr>
        <w:t xml:space="preserve"> </w:t>
      </w:r>
      <w:r w:rsidR="00D951AD" w:rsidRPr="00F96873">
        <w:rPr>
          <w:rFonts w:ascii="Times New Roman" w:eastAsia="Calibri" w:hAnsi="Times New Roman" w:cs="Times New Roman"/>
          <w:color w:val="000000"/>
          <w:sz w:val="24"/>
          <w:szCs w:val="24"/>
          <w:u w:val="single"/>
          <w:lang w:val="en-US"/>
        </w:rPr>
        <w:t>estimated that a sample size of 137 patients was required to achieve a power of 0.99 using an alpha significance level of 0.05 (two-sided).</w:t>
      </w:r>
    </w:p>
    <w:p w14:paraId="0DF43294" w14:textId="184E530E" w:rsidR="00972745" w:rsidRPr="00E51D3E" w:rsidRDefault="00E51D3E" w:rsidP="00E51D3E">
      <w:pPr>
        <w:widowControl w:val="0"/>
        <w:spacing w:after="0" w:line="480" w:lineRule="auto"/>
        <w:ind w:right="187"/>
        <w:jc w:val="both"/>
        <w:rPr>
          <w:rFonts w:ascii="Times New Roman" w:hAnsi="Times New Roman" w:cs="Times New Roman"/>
          <w:sz w:val="24"/>
          <w:szCs w:val="24"/>
          <w:lang w:val="en-GB"/>
        </w:rPr>
      </w:pPr>
      <w:r w:rsidRPr="00E51D3E">
        <w:rPr>
          <w:rFonts w:ascii="Times New Roman" w:eastAsia="Calibri" w:hAnsi="Times New Roman" w:cs="Times New Roman"/>
          <w:color w:val="000000"/>
          <w:sz w:val="24"/>
          <w:szCs w:val="24"/>
          <w:lang w:val="en-GB"/>
        </w:rPr>
        <w:t>All statistical analyses, including the generation of tables, listings and figures were performed using either R or Python frameworks.</w:t>
      </w:r>
      <w:r>
        <w:rPr>
          <w:rFonts w:ascii="Times New Roman" w:eastAsia="Calibri" w:hAnsi="Times New Roman" w:cs="Times New Roman"/>
          <w:color w:val="000000"/>
          <w:sz w:val="24"/>
          <w:szCs w:val="24"/>
          <w:lang w:val="en-GB"/>
        </w:rPr>
        <w:t xml:space="preserve"> </w:t>
      </w:r>
      <w:r w:rsidR="00972745" w:rsidRPr="00E51D3E">
        <w:rPr>
          <w:rFonts w:ascii="Times New Roman" w:hAnsi="Times New Roman" w:cs="Times New Roman"/>
          <w:sz w:val="24"/>
          <w:szCs w:val="24"/>
          <w:lang w:val="en-GB"/>
        </w:rPr>
        <w:t xml:space="preserve">Categorical variables were </w:t>
      </w:r>
      <w:r w:rsidR="00972745" w:rsidRPr="00E51D3E">
        <w:rPr>
          <w:rFonts w:ascii="Times New Roman" w:hAnsi="Times New Roman" w:cs="Times New Roman"/>
          <w:sz w:val="24"/>
          <w:szCs w:val="24"/>
          <w:lang w:val="en-GB"/>
        </w:rPr>
        <w:lastRenderedPageBreak/>
        <w:t>summarised as the number of patients and percentages (%) of patients in each category. Percentages were calculated over the number of patients with available (non-missing) data. Continuous variables were summarised using the mean, medians, standard deviation (SD) and the number of missing observations. Computed metrics were presented up to two decimal places. Normality tests were applied before choosing between parametric (e.g. Student’s t-test) or non-parametric (</w:t>
      </w:r>
      <w:proofErr w:type="spellStart"/>
      <w:r w:rsidR="00972745" w:rsidRPr="00E51D3E">
        <w:rPr>
          <w:rFonts w:ascii="Times New Roman" w:hAnsi="Times New Roman" w:cs="Times New Roman"/>
          <w:sz w:val="24"/>
          <w:szCs w:val="24"/>
          <w:lang w:val="en-GB"/>
        </w:rPr>
        <w:t>e.g</w:t>
      </w:r>
      <w:proofErr w:type="spellEnd"/>
      <w:r w:rsidR="00972745" w:rsidRPr="00E51D3E">
        <w:rPr>
          <w:rFonts w:ascii="Times New Roman" w:hAnsi="Times New Roman" w:cs="Times New Roman"/>
          <w:sz w:val="24"/>
          <w:szCs w:val="24"/>
          <w:lang w:val="en-GB"/>
        </w:rPr>
        <w:t xml:space="preserve"> Wilcoxon’s signed rank test) statistic tests. p-values of less than 0.05 were considered statistically significant. </w:t>
      </w:r>
    </w:p>
    <w:p w14:paraId="5C144426" w14:textId="5D6EAF5C" w:rsidR="00805740" w:rsidRPr="00E95F63" w:rsidRDefault="00805740" w:rsidP="00E95F63">
      <w:pPr>
        <w:tabs>
          <w:tab w:val="num" w:pos="1440"/>
        </w:tabs>
        <w:spacing w:after="0" w:line="480" w:lineRule="auto"/>
        <w:jc w:val="both"/>
        <w:rPr>
          <w:rFonts w:ascii="Times New Roman" w:hAnsi="Times New Roman" w:cs="Times New Roman"/>
          <w:b/>
          <w:bCs/>
          <w:sz w:val="24"/>
          <w:szCs w:val="24"/>
          <w:lang w:val="en-US"/>
        </w:rPr>
      </w:pPr>
      <w:r w:rsidRPr="00E95F63">
        <w:rPr>
          <w:rFonts w:ascii="Times New Roman" w:hAnsi="Times New Roman" w:cs="Times New Roman"/>
          <w:b/>
          <w:bCs/>
          <w:sz w:val="24"/>
          <w:szCs w:val="24"/>
          <w:lang w:val="en-US"/>
        </w:rPr>
        <w:t>Results</w:t>
      </w:r>
    </w:p>
    <w:p w14:paraId="7FB2B2FD" w14:textId="1D07178B" w:rsidR="00B57F6E" w:rsidRDefault="00B57F6E" w:rsidP="00B57F6E">
      <w:pPr>
        <w:spacing w:after="0" w:line="480" w:lineRule="auto"/>
        <w:jc w:val="both"/>
        <w:rPr>
          <w:rFonts w:ascii="Times New Roman" w:hAnsi="Times New Roman" w:cs="Times New Roman"/>
          <w:sz w:val="24"/>
          <w:szCs w:val="24"/>
          <w:lang w:val="en-GB"/>
        </w:rPr>
      </w:pPr>
      <w:r w:rsidRPr="00E647FA">
        <w:rPr>
          <w:rFonts w:ascii="Times New Roman" w:hAnsi="Times New Roman" w:cs="Times New Roman"/>
          <w:sz w:val="24"/>
          <w:szCs w:val="24"/>
          <w:lang w:val="en-US"/>
        </w:rPr>
        <w:t xml:space="preserve">87 patients were initially screened and followed up. </w:t>
      </w:r>
      <w:r w:rsidRPr="00E647FA">
        <w:rPr>
          <w:rFonts w:ascii="Times New Roman" w:hAnsi="Times New Roman" w:cs="Times New Roman"/>
          <w:sz w:val="24"/>
          <w:szCs w:val="24"/>
          <w:lang w:val="en-GB"/>
        </w:rPr>
        <w:t xml:space="preserve">Out of the baseline 87 patients, 70 were included in the interim analysis. </w:t>
      </w:r>
      <w:r w:rsidRPr="00E95F63">
        <w:rPr>
          <w:rFonts w:ascii="Times New Roman" w:hAnsi="Times New Roman" w:cs="Times New Roman"/>
          <w:sz w:val="24"/>
          <w:szCs w:val="24"/>
          <w:lang w:val="en-GB"/>
        </w:rPr>
        <w:t>Seventeen patients were not included due to: missing data (7pts), lost to follow up (6 pts) or discontinuation due to AE (muscle pain-1 patient) or lack of efficacy (3 pts).</w:t>
      </w:r>
      <w:r>
        <w:rPr>
          <w:rFonts w:ascii="Times New Roman" w:hAnsi="Times New Roman" w:cs="Times New Roman"/>
          <w:sz w:val="24"/>
          <w:szCs w:val="24"/>
          <w:lang w:val="en-GB"/>
        </w:rPr>
        <w:t xml:space="preserve"> </w:t>
      </w:r>
      <w:r w:rsidRPr="00E647FA">
        <w:rPr>
          <w:rFonts w:ascii="Times New Roman" w:hAnsi="Times New Roman" w:cs="Times New Roman"/>
          <w:sz w:val="24"/>
          <w:szCs w:val="24"/>
          <w:lang w:val="en-GB"/>
        </w:rPr>
        <w:t xml:space="preserve">The flow chart of the study participants is shown in Figure </w:t>
      </w:r>
      <w:r w:rsidR="00BD69B4">
        <w:rPr>
          <w:rFonts w:ascii="Times New Roman" w:hAnsi="Times New Roman" w:cs="Times New Roman"/>
          <w:sz w:val="24"/>
          <w:szCs w:val="24"/>
          <w:lang w:val="en-GB"/>
        </w:rPr>
        <w:t>E</w:t>
      </w:r>
      <w:r w:rsidRPr="00E647FA">
        <w:rPr>
          <w:rFonts w:ascii="Times New Roman" w:hAnsi="Times New Roman" w:cs="Times New Roman"/>
          <w:sz w:val="24"/>
          <w:szCs w:val="24"/>
          <w:lang w:val="en-GB"/>
        </w:rPr>
        <w:t xml:space="preserve">1. </w:t>
      </w:r>
      <w:r w:rsidR="00BD69B4">
        <w:rPr>
          <w:rFonts w:ascii="Times New Roman" w:hAnsi="Times New Roman" w:cs="Times New Roman"/>
          <w:sz w:val="24"/>
          <w:szCs w:val="24"/>
          <w:lang w:val="en-GB"/>
        </w:rPr>
        <w:t>Demographic characteristics are provided in table E1.</w:t>
      </w:r>
    </w:p>
    <w:p w14:paraId="7350F343" w14:textId="3A4AEC89" w:rsidR="00B57F6E" w:rsidRDefault="00B57F6E" w:rsidP="00AF44A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E647FA">
        <w:rPr>
          <w:rFonts w:ascii="Times New Roman" w:hAnsi="Times New Roman" w:cs="Times New Roman"/>
          <w:sz w:val="24"/>
          <w:szCs w:val="24"/>
          <w:lang w:val="en-US"/>
        </w:rPr>
        <w:t>he annual rate of exacerbations was even greater in patients with greater numbers of blood eosinophils.</w:t>
      </w:r>
      <w:r w:rsidR="0069768A">
        <w:rPr>
          <w:rFonts w:ascii="Times New Roman" w:hAnsi="Times New Roman" w:cs="Times New Roman"/>
          <w:sz w:val="24"/>
          <w:szCs w:val="24"/>
          <w:lang w:val="en-US"/>
        </w:rPr>
        <w:t xml:space="preserve"> </w:t>
      </w:r>
      <w:r w:rsidR="00AF44AC" w:rsidRPr="00AF44AC">
        <w:rPr>
          <w:rFonts w:ascii="Times New Roman" w:hAnsi="Times New Roman" w:cs="Times New Roman"/>
          <w:sz w:val="24"/>
          <w:szCs w:val="24"/>
          <w:lang w:val="en-US"/>
        </w:rPr>
        <w:t>Compared to the 1 year preceding the beginning of treatment , after 1 full year of anti-IL-5 therapy the number of asthma exacerbations dropped from 3.41 ± 2.71 to 1.58 ± 1.56 (</w:t>
      </w:r>
      <w:r w:rsidR="00AF44AC">
        <w:rPr>
          <w:rFonts w:ascii="Times New Roman" w:hAnsi="Times New Roman" w:cs="Times New Roman"/>
          <w:sz w:val="24"/>
          <w:szCs w:val="24"/>
          <w:lang w:val="en-US"/>
        </w:rPr>
        <w:t xml:space="preserve">54% reduction, </w:t>
      </w:r>
      <w:r w:rsidR="00AF44AC" w:rsidRPr="00AF44AC">
        <w:rPr>
          <w:rFonts w:ascii="Times New Roman" w:hAnsi="Times New Roman" w:cs="Times New Roman"/>
          <w:sz w:val="24"/>
          <w:szCs w:val="24"/>
          <w:lang w:val="en-US"/>
        </w:rPr>
        <w:t>p &lt; 0.0001) [150, 300) blood eosinophils cells/</w:t>
      </w:r>
      <w:proofErr w:type="spellStart"/>
      <w:r w:rsidR="00AF44AC" w:rsidRPr="00AF44AC">
        <w:rPr>
          <w:rFonts w:ascii="Times New Roman" w:hAnsi="Times New Roman" w:cs="Times New Roman"/>
          <w:sz w:val="24"/>
          <w:szCs w:val="24"/>
          <w:lang w:val="en-US"/>
        </w:rPr>
        <w:t>μl</w:t>
      </w:r>
      <w:proofErr w:type="spellEnd"/>
      <w:r w:rsidR="00AF44AC" w:rsidRPr="00AF44AC">
        <w:rPr>
          <w:rFonts w:ascii="Times New Roman" w:hAnsi="Times New Roman" w:cs="Times New Roman"/>
          <w:sz w:val="24"/>
          <w:szCs w:val="24"/>
          <w:lang w:val="en-US"/>
        </w:rPr>
        <w:t>, from 4.6 ± 2.17 to 1.35 ± 1.92 (</w:t>
      </w:r>
      <w:r w:rsidR="00AF44AC">
        <w:rPr>
          <w:rFonts w:ascii="Times New Roman" w:hAnsi="Times New Roman" w:cs="Times New Roman"/>
          <w:sz w:val="24"/>
          <w:szCs w:val="24"/>
          <w:lang w:val="en-US"/>
        </w:rPr>
        <w:t>71% reduction,</w:t>
      </w:r>
      <w:r w:rsidR="00AF44AC" w:rsidRPr="00AF44AC">
        <w:rPr>
          <w:rFonts w:ascii="Times New Roman" w:hAnsi="Times New Roman" w:cs="Times New Roman"/>
          <w:sz w:val="24"/>
          <w:szCs w:val="24"/>
          <w:lang w:val="en-US"/>
        </w:rPr>
        <w:t xml:space="preserve"> p &lt; 0.0001) for ≥300 cells/</w:t>
      </w:r>
      <w:proofErr w:type="spellStart"/>
      <w:r w:rsidR="00AF44AC" w:rsidRPr="00AF44AC">
        <w:rPr>
          <w:rFonts w:ascii="Times New Roman" w:hAnsi="Times New Roman" w:cs="Times New Roman"/>
          <w:sz w:val="24"/>
          <w:szCs w:val="24"/>
          <w:lang w:val="en-US"/>
        </w:rPr>
        <w:t>μl</w:t>
      </w:r>
      <w:proofErr w:type="spellEnd"/>
      <w:r w:rsidR="00AF44AC" w:rsidRPr="00AF44AC">
        <w:rPr>
          <w:rFonts w:ascii="Times New Roman" w:hAnsi="Times New Roman" w:cs="Times New Roman"/>
          <w:sz w:val="24"/>
          <w:szCs w:val="24"/>
          <w:lang w:val="en-US"/>
        </w:rPr>
        <w:t xml:space="preserve"> and from 4.42 ± 2.27 to 1.24 ± 1.55 (</w:t>
      </w:r>
      <w:r w:rsidR="00AF44AC">
        <w:rPr>
          <w:rFonts w:ascii="Times New Roman" w:hAnsi="Times New Roman" w:cs="Times New Roman"/>
          <w:sz w:val="24"/>
          <w:szCs w:val="24"/>
          <w:lang w:val="en-US"/>
        </w:rPr>
        <w:t xml:space="preserve">72% reduction, </w:t>
      </w:r>
      <w:r w:rsidR="00AF44AC" w:rsidRPr="00AF44AC">
        <w:rPr>
          <w:rFonts w:ascii="Times New Roman" w:hAnsi="Times New Roman" w:cs="Times New Roman"/>
          <w:sz w:val="24"/>
          <w:szCs w:val="24"/>
          <w:lang w:val="en-US"/>
        </w:rPr>
        <w:t>p &lt; 0.0001) for ≥400 cells/</w:t>
      </w:r>
      <w:proofErr w:type="spellStart"/>
      <w:r w:rsidR="00AF44AC" w:rsidRPr="00AF44AC">
        <w:rPr>
          <w:rFonts w:ascii="Times New Roman" w:hAnsi="Times New Roman" w:cs="Times New Roman"/>
          <w:sz w:val="24"/>
          <w:szCs w:val="24"/>
          <w:lang w:val="en-US"/>
        </w:rPr>
        <w:t>μl</w:t>
      </w:r>
      <w:proofErr w:type="spellEnd"/>
      <w:r w:rsidR="00AF44AC">
        <w:rPr>
          <w:rFonts w:ascii="Times New Roman" w:hAnsi="Times New Roman" w:cs="Times New Roman"/>
          <w:sz w:val="24"/>
          <w:szCs w:val="24"/>
          <w:lang w:val="en-US"/>
        </w:rPr>
        <w:t xml:space="preserve"> </w:t>
      </w:r>
      <w:r w:rsidRPr="00E647FA">
        <w:rPr>
          <w:rFonts w:ascii="Times New Roman" w:hAnsi="Times New Roman" w:cs="Times New Roman"/>
          <w:sz w:val="24"/>
          <w:szCs w:val="24"/>
          <w:lang w:val="en-US"/>
        </w:rPr>
        <w:t xml:space="preserve">(Figure </w:t>
      </w:r>
      <w:r w:rsidR="00BD69B4">
        <w:rPr>
          <w:rFonts w:ascii="Times New Roman" w:hAnsi="Times New Roman" w:cs="Times New Roman"/>
          <w:sz w:val="24"/>
          <w:szCs w:val="24"/>
          <w:lang w:val="en-US"/>
        </w:rPr>
        <w:t>E</w:t>
      </w:r>
      <w:r w:rsidRPr="00E647FA">
        <w:rPr>
          <w:rFonts w:ascii="Times New Roman" w:hAnsi="Times New Roman" w:cs="Times New Roman"/>
          <w:sz w:val="24"/>
          <w:szCs w:val="24"/>
          <w:lang w:val="en-US"/>
        </w:rPr>
        <w:t xml:space="preserve">2). </w:t>
      </w:r>
    </w:p>
    <w:p w14:paraId="79F1D2F5" w14:textId="2780D513" w:rsidR="00B57F6E" w:rsidRPr="00B336D3" w:rsidRDefault="00B57F6E" w:rsidP="00B57F6E">
      <w:pPr>
        <w:spacing w:after="0" w:line="480" w:lineRule="auto"/>
        <w:jc w:val="both"/>
        <w:rPr>
          <w:rFonts w:ascii="Times New Roman" w:hAnsi="Times New Roman" w:cs="Times New Roman"/>
          <w:color w:val="000000" w:themeColor="text1"/>
          <w:sz w:val="24"/>
          <w:szCs w:val="24"/>
          <w:lang w:val="en-US"/>
        </w:rPr>
      </w:pPr>
      <w:r w:rsidRPr="00E647FA">
        <w:rPr>
          <w:rFonts w:ascii="Times New Roman" w:hAnsi="Times New Roman" w:cs="Times New Roman"/>
          <w:sz w:val="24"/>
          <w:szCs w:val="24"/>
          <w:lang w:val="en-US"/>
        </w:rPr>
        <w:t>42 patients received maintenance dose of OCS at baseline</w:t>
      </w:r>
      <w:r w:rsidR="002F451B">
        <w:rPr>
          <w:rFonts w:ascii="Times New Roman" w:hAnsi="Times New Roman" w:cs="Times New Roman"/>
          <w:sz w:val="24"/>
          <w:szCs w:val="24"/>
          <w:lang w:val="en-US"/>
        </w:rPr>
        <w:t xml:space="preserve"> </w:t>
      </w:r>
      <w:r w:rsidR="002F451B" w:rsidRPr="002F451B">
        <w:rPr>
          <w:rFonts w:ascii="Times New Roman" w:hAnsi="Times New Roman" w:cs="Times New Roman"/>
          <w:sz w:val="24"/>
          <w:szCs w:val="24"/>
          <w:u w:val="single"/>
          <w:lang w:val="en-US"/>
        </w:rPr>
        <w:t>with stable dose for at least one year before enrolment.</w:t>
      </w:r>
      <w:r w:rsidR="002F451B">
        <w:rPr>
          <w:rFonts w:ascii="Times New Roman" w:hAnsi="Times New Roman" w:cs="Times New Roman"/>
          <w:sz w:val="24"/>
          <w:szCs w:val="24"/>
          <w:lang w:val="en-US"/>
        </w:rPr>
        <w:t xml:space="preserve"> </w:t>
      </w:r>
      <w:r w:rsidRPr="00E647FA">
        <w:rPr>
          <w:rFonts w:ascii="Times New Roman" w:hAnsi="Times New Roman" w:cs="Times New Roman"/>
          <w:sz w:val="24"/>
          <w:szCs w:val="24"/>
          <w:lang w:val="en-US"/>
        </w:rPr>
        <w:t xml:space="preserve"> From these patients 8 (20%) achieved total discontinuation at 4 months of follow up, 15 (30%) at 8 months of follow up and at the end of one year of </w:t>
      </w:r>
      <w:r w:rsidRPr="00E647FA">
        <w:rPr>
          <w:rFonts w:ascii="Times New Roman" w:hAnsi="Times New Roman" w:cs="Times New Roman"/>
          <w:sz w:val="24"/>
          <w:szCs w:val="24"/>
          <w:lang w:val="en-US"/>
        </w:rPr>
        <w:lastRenderedPageBreak/>
        <w:t xml:space="preserve">therapy with mepolizumab totally 17 patients (40%) had </w:t>
      </w:r>
      <w:r w:rsidRPr="00B336D3">
        <w:rPr>
          <w:rFonts w:ascii="Times New Roman" w:hAnsi="Times New Roman" w:cs="Times New Roman"/>
          <w:color w:val="000000" w:themeColor="text1"/>
          <w:sz w:val="24"/>
          <w:szCs w:val="24"/>
          <w:lang w:val="en-US"/>
        </w:rPr>
        <w:t xml:space="preserve">achieved OCS discontinuation (Figure </w:t>
      </w:r>
      <w:r w:rsidR="00BD69B4">
        <w:rPr>
          <w:rFonts w:ascii="Times New Roman" w:hAnsi="Times New Roman" w:cs="Times New Roman"/>
          <w:color w:val="000000" w:themeColor="text1"/>
          <w:sz w:val="24"/>
          <w:szCs w:val="24"/>
          <w:lang w:val="en-US"/>
        </w:rPr>
        <w:t>E</w:t>
      </w:r>
      <w:r w:rsidRPr="00B336D3">
        <w:rPr>
          <w:rFonts w:ascii="Times New Roman" w:hAnsi="Times New Roman" w:cs="Times New Roman"/>
          <w:color w:val="000000" w:themeColor="text1"/>
          <w:sz w:val="24"/>
          <w:szCs w:val="24"/>
          <w:lang w:val="en-US"/>
        </w:rPr>
        <w:t xml:space="preserve">3). </w:t>
      </w:r>
    </w:p>
    <w:p w14:paraId="44B6CCBF" w14:textId="203B8E88" w:rsidR="006270B7" w:rsidRDefault="00403EDD" w:rsidP="00E95F63">
      <w:pPr>
        <w:spacing w:after="0" w:line="480" w:lineRule="auto"/>
        <w:jc w:val="both"/>
        <w:rPr>
          <w:rFonts w:ascii="Times New Roman" w:hAnsi="Times New Roman" w:cs="Times New Roman"/>
          <w:sz w:val="24"/>
          <w:szCs w:val="24"/>
          <w:lang w:val="en-US"/>
        </w:rPr>
      </w:pPr>
      <w:r w:rsidRPr="00B336D3">
        <w:rPr>
          <w:rFonts w:ascii="Times New Roman" w:hAnsi="Times New Roman" w:cs="Times New Roman"/>
          <w:color w:val="000000" w:themeColor="text1"/>
          <w:sz w:val="24"/>
          <w:szCs w:val="24"/>
          <w:lang w:val="en-US"/>
        </w:rPr>
        <w:t>With</w:t>
      </w:r>
      <w:r w:rsidR="00B57F6E" w:rsidRPr="00B336D3">
        <w:rPr>
          <w:rFonts w:ascii="Times New Roman" w:hAnsi="Times New Roman" w:cs="Times New Roman"/>
          <w:color w:val="000000" w:themeColor="text1"/>
          <w:sz w:val="24"/>
          <w:szCs w:val="24"/>
          <w:lang w:val="en-US"/>
        </w:rPr>
        <w:t xml:space="preserve"> respect to Adverse </w:t>
      </w:r>
      <w:r w:rsidR="00B57F6E" w:rsidRPr="00E647FA">
        <w:rPr>
          <w:rFonts w:ascii="Times New Roman" w:hAnsi="Times New Roman" w:cs="Times New Roman"/>
          <w:sz w:val="24"/>
          <w:szCs w:val="24"/>
          <w:lang w:val="en-US"/>
        </w:rPr>
        <w:t xml:space="preserve">Events of treatment with mepolizumab, 19 patients (27%) were recorded to have at least one such occurrence during their 1-year treatment. Table </w:t>
      </w:r>
      <w:r w:rsidR="00BD69B4">
        <w:rPr>
          <w:rFonts w:ascii="Times New Roman" w:hAnsi="Times New Roman" w:cs="Times New Roman"/>
          <w:sz w:val="24"/>
          <w:szCs w:val="24"/>
          <w:lang w:val="en-US"/>
        </w:rPr>
        <w:t>E2</w:t>
      </w:r>
      <w:r w:rsidR="00B57F6E" w:rsidRPr="00E647FA">
        <w:rPr>
          <w:rFonts w:ascii="Times New Roman" w:hAnsi="Times New Roman" w:cs="Times New Roman"/>
          <w:sz w:val="24"/>
          <w:szCs w:val="24"/>
          <w:lang w:val="en-US"/>
        </w:rPr>
        <w:t xml:space="preserve"> shows the kind of AE recorded, as well as their frequency. </w:t>
      </w:r>
      <w:r w:rsidR="006270B7" w:rsidRPr="00E95F63">
        <w:rPr>
          <w:rFonts w:ascii="Times New Roman" w:hAnsi="Times New Roman" w:cs="Times New Roman"/>
          <w:sz w:val="24"/>
          <w:szCs w:val="24"/>
          <w:lang w:val="en-US"/>
        </w:rPr>
        <w:t>The most frequent adverse events were rhinitis-nasal congestion and upper respiratory tract infection each of which occurred in 5 (26.3%) patients. No severe adverse events were reported in our group of patients</w:t>
      </w:r>
      <w:r w:rsidR="00B57F6E">
        <w:rPr>
          <w:rFonts w:ascii="Times New Roman" w:hAnsi="Times New Roman" w:cs="Times New Roman"/>
          <w:sz w:val="24"/>
          <w:szCs w:val="24"/>
          <w:lang w:val="en-US"/>
        </w:rPr>
        <w:t xml:space="preserve">. One patient stopped the treatment due to muscle pain. </w:t>
      </w:r>
    </w:p>
    <w:p w14:paraId="10FE4FE5" w14:textId="77777777" w:rsidR="006C4346" w:rsidRDefault="006C4346" w:rsidP="00E95F63">
      <w:pPr>
        <w:spacing w:after="0" w:line="480" w:lineRule="auto"/>
        <w:rPr>
          <w:rFonts w:ascii="Times New Roman" w:hAnsi="Times New Roman" w:cs="Times New Roman"/>
          <w:b/>
          <w:bCs/>
          <w:sz w:val="24"/>
          <w:szCs w:val="24"/>
          <w:lang w:val="en-US"/>
        </w:rPr>
      </w:pPr>
    </w:p>
    <w:p w14:paraId="17A75DFD" w14:textId="77777777" w:rsidR="0048720E" w:rsidRDefault="0048720E" w:rsidP="006C4346">
      <w:pPr>
        <w:rPr>
          <w:rFonts w:ascii="Times New Roman" w:hAnsi="Times New Roman" w:cs="Times New Roman"/>
          <w:b/>
          <w:bCs/>
          <w:color w:val="000000" w:themeColor="text1"/>
          <w:sz w:val="24"/>
          <w:szCs w:val="24"/>
          <w:lang w:val="en-US"/>
        </w:rPr>
      </w:pPr>
    </w:p>
    <w:p w14:paraId="04289DCA" w14:textId="77777777" w:rsidR="0048720E" w:rsidRDefault="0048720E" w:rsidP="006C4346">
      <w:pPr>
        <w:rPr>
          <w:rFonts w:ascii="Times New Roman" w:hAnsi="Times New Roman" w:cs="Times New Roman"/>
          <w:b/>
          <w:bCs/>
          <w:color w:val="000000" w:themeColor="text1"/>
          <w:sz w:val="24"/>
          <w:szCs w:val="24"/>
          <w:lang w:val="en-US"/>
        </w:rPr>
      </w:pPr>
    </w:p>
    <w:p w14:paraId="3BFED6C3" w14:textId="77777777" w:rsidR="0048720E" w:rsidRDefault="0048720E" w:rsidP="006C4346">
      <w:pPr>
        <w:rPr>
          <w:rFonts w:ascii="Times New Roman" w:hAnsi="Times New Roman" w:cs="Times New Roman"/>
          <w:b/>
          <w:bCs/>
          <w:color w:val="000000" w:themeColor="text1"/>
          <w:sz w:val="24"/>
          <w:szCs w:val="24"/>
          <w:lang w:val="en-US"/>
        </w:rPr>
      </w:pPr>
    </w:p>
    <w:p w14:paraId="1DD3FB8E" w14:textId="77777777" w:rsidR="0048720E" w:rsidRDefault="0048720E" w:rsidP="006C4346">
      <w:pPr>
        <w:rPr>
          <w:rFonts w:ascii="Times New Roman" w:hAnsi="Times New Roman" w:cs="Times New Roman"/>
          <w:b/>
          <w:bCs/>
          <w:color w:val="000000" w:themeColor="text1"/>
          <w:sz w:val="24"/>
          <w:szCs w:val="24"/>
          <w:lang w:val="en-US"/>
        </w:rPr>
      </w:pPr>
    </w:p>
    <w:p w14:paraId="3306925F" w14:textId="77777777" w:rsidR="0048720E" w:rsidRDefault="0048720E" w:rsidP="006C4346">
      <w:pPr>
        <w:rPr>
          <w:rFonts w:ascii="Times New Roman" w:hAnsi="Times New Roman" w:cs="Times New Roman"/>
          <w:b/>
          <w:bCs/>
          <w:color w:val="000000" w:themeColor="text1"/>
          <w:sz w:val="24"/>
          <w:szCs w:val="24"/>
          <w:lang w:val="en-US"/>
        </w:rPr>
      </w:pPr>
    </w:p>
    <w:p w14:paraId="519DC910" w14:textId="77777777" w:rsidR="0048720E" w:rsidRDefault="0048720E" w:rsidP="006C4346">
      <w:pPr>
        <w:rPr>
          <w:rFonts w:ascii="Times New Roman" w:hAnsi="Times New Roman" w:cs="Times New Roman"/>
          <w:b/>
          <w:bCs/>
          <w:color w:val="000000" w:themeColor="text1"/>
          <w:sz w:val="24"/>
          <w:szCs w:val="24"/>
          <w:lang w:val="en-US"/>
        </w:rPr>
      </w:pPr>
    </w:p>
    <w:p w14:paraId="3FAD05AC" w14:textId="77777777" w:rsidR="0048720E" w:rsidRDefault="0048720E" w:rsidP="006C4346">
      <w:pPr>
        <w:rPr>
          <w:rFonts w:ascii="Times New Roman" w:hAnsi="Times New Roman" w:cs="Times New Roman"/>
          <w:b/>
          <w:bCs/>
          <w:color w:val="000000" w:themeColor="text1"/>
          <w:sz w:val="24"/>
          <w:szCs w:val="24"/>
          <w:lang w:val="en-US"/>
        </w:rPr>
      </w:pPr>
    </w:p>
    <w:p w14:paraId="29AAB77E" w14:textId="77777777" w:rsidR="0048720E" w:rsidRDefault="0048720E" w:rsidP="006C4346">
      <w:pPr>
        <w:rPr>
          <w:rFonts w:ascii="Times New Roman" w:hAnsi="Times New Roman" w:cs="Times New Roman"/>
          <w:b/>
          <w:bCs/>
          <w:color w:val="000000" w:themeColor="text1"/>
          <w:sz w:val="24"/>
          <w:szCs w:val="24"/>
          <w:lang w:val="en-US"/>
        </w:rPr>
      </w:pPr>
    </w:p>
    <w:p w14:paraId="6FE62C81" w14:textId="77777777" w:rsidR="0048720E" w:rsidRDefault="0048720E" w:rsidP="006C4346">
      <w:pPr>
        <w:rPr>
          <w:rFonts w:ascii="Times New Roman" w:hAnsi="Times New Roman" w:cs="Times New Roman"/>
          <w:b/>
          <w:bCs/>
          <w:color w:val="000000" w:themeColor="text1"/>
          <w:sz w:val="24"/>
          <w:szCs w:val="24"/>
          <w:lang w:val="en-US"/>
        </w:rPr>
      </w:pPr>
    </w:p>
    <w:p w14:paraId="5EC3A064" w14:textId="77777777" w:rsidR="0048720E" w:rsidRDefault="0048720E" w:rsidP="006C4346">
      <w:pPr>
        <w:rPr>
          <w:rFonts w:ascii="Times New Roman" w:hAnsi="Times New Roman" w:cs="Times New Roman"/>
          <w:b/>
          <w:bCs/>
          <w:color w:val="000000" w:themeColor="text1"/>
          <w:sz w:val="24"/>
          <w:szCs w:val="24"/>
          <w:lang w:val="en-US"/>
        </w:rPr>
      </w:pPr>
    </w:p>
    <w:p w14:paraId="4AB26109" w14:textId="77777777" w:rsidR="0048720E" w:rsidRDefault="0048720E" w:rsidP="006C4346">
      <w:pPr>
        <w:rPr>
          <w:rFonts w:ascii="Times New Roman" w:hAnsi="Times New Roman" w:cs="Times New Roman"/>
          <w:b/>
          <w:bCs/>
          <w:color w:val="000000" w:themeColor="text1"/>
          <w:sz w:val="24"/>
          <w:szCs w:val="24"/>
          <w:lang w:val="en-US"/>
        </w:rPr>
      </w:pPr>
    </w:p>
    <w:p w14:paraId="01AE5DB5" w14:textId="77777777" w:rsidR="00E127A8" w:rsidRDefault="00E127A8" w:rsidP="00D951AD">
      <w:pPr>
        <w:widowControl w:val="0"/>
        <w:spacing w:after="0" w:line="480" w:lineRule="auto"/>
        <w:ind w:right="187"/>
        <w:jc w:val="both"/>
        <w:rPr>
          <w:rFonts w:ascii="Times New Roman" w:eastAsia="Calibri" w:hAnsi="Times New Roman" w:cs="Times New Roman"/>
          <w:b/>
          <w:bCs/>
          <w:color w:val="000000"/>
          <w:sz w:val="24"/>
          <w:szCs w:val="24"/>
          <w:lang w:val="en-US"/>
        </w:rPr>
      </w:pPr>
      <w:bookmarkStart w:id="18" w:name="_ENREF_1"/>
    </w:p>
    <w:p w14:paraId="4EC0DAB5" w14:textId="77777777" w:rsidR="00E127A8" w:rsidRDefault="00E127A8" w:rsidP="00D951AD">
      <w:pPr>
        <w:widowControl w:val="0"/>
        <w:spacing w:after="0" w:line="480" w:lineRule="auto"/>
        <w:ind w:right="187"/>
        <w:jc w:val="both"/>
        <w:rPr>
          <w:rFonts w:ascii="Times New Roman" w:eastAsia="Calibri" w:hAnsi="Times New Roman" w:cs="Times New Roman"/>
          <w:b/>
          <w:bCs/>
          <w:color w:val="000000"/>
          <w:sz w:val="24"/>
          <w:szCs w:val="24"/>
          <w:lang w:val="en-US"/>
        </w:rPr>
      </w:pPr>
    </w:p>
    <w:p w14:paraId="5FFC7452" w14:textId="77777777" w:rsidR="00E127A8" w:rsidRDefault="00E127A8" w:rsidP="00D951AD">
      <w:pPr>
        <w:widowControl w:val="0"/>
        <w:spacing w:after="0" w:line="480" w:lineRule="auto"/>
        <w:ind w:right="187"/>
        <w:jc w:val="both"/>
        <w:rPr>
          <w:rFonts w:ascii="Times New Roman" w:eastAsia="Calibri" w:hAnsi="Times New Roman" w:cs="Times New Roman"/>
          <w:b/>
          <w:bCs/>
          <w:color w:val="000000"/>
          <w:sz w:val="24"/>
          <w:szCs w:val="24"/>
          <w:lang w:val="en-US"/>
        </w:rPr>
      </w:pPr>
    </w:p>
    <w:p w14:paraId="681F3029" w14:textId="77777777" w:rsidR="00E127A8" w:rsidRDefault="00E127A8" w:rsidP="00D951AD">
      <w:pPr>
        <w:widowControl w:val="0"/>
        <w:spacing w:after="0" w:line="480" w:lineRule="auto"/>
        <w:ind w:right="187"/>
        <w:jc w:val="both"/>
        <w:rPr>
          <w:rFonts w:ascii="Times New Roman" w:eastAsia="Calibri" w:hAnsi="Times New Roman" w:cs="Times New Roman"/>
          <w:b/>
          <w:bCs/>
          <w:color w:val="000000"/>
          <w:sz w:val="24"/>
          <w:szCs w:val="24"/>
          <w:lang w:val="en-US"/>
        </w:rPr>
      </w:pPr>
    </w:p>
    <w:p w14:paraId="7B3F064A" w14:textId="6925BF0C" w:rsidR="00F96873" w:rsidRPr="00F96873" w:rsidRDefault="00F96873" w:rsidP="00D951AD">
      <w:pPr>
        <w:widowControl w:val="0"/>
        <w:spacing w:after="0" w:line="480" w:lineRule="auto"/>
        <w:ind w:right="187"/>
        <w:jc w:val="both"/>
        <w:rPr>
          <w:rFonts w:ascii="Times New Roman" w:eastAsia="Calibri" w:hAnsi="Times New Roman" w:cs="Times New Roman"/>
          <w:b/>
          <w:bCs/>
          <w:color w:val="000000"/>
          <w:sz w:val="24"/>
          <w:szCs w:val="24"/>
          <w:lang w:val="en-US"/>
        </w:rPr>
      </w:pPr>
      <w:r w:rsidRPr="00F96873">
        <w:rPr>
          <w:rFonts w:ascii="Times New Roman" w:eastAsia="Calibri" w:hAnsi="Times New Roman" w:cs="Times New Roman"/>
          <w:b/>
          <w:bCs/>
          <w:color w:val="000000"/>
          <w:sz w:val="24"/>
          <w:szCs w:val="24"/>
          <w:lang w:val="en-US"/>
        </w:rPr>
        <w:lastRenderedPageBreak/>
        <w:t>References</w:t>
      </w:r>
    </w:p>
    <w:p w14:paraId="5ADA27AF" w14:textId="5A2FEA5E" w:rsidR="00D951AD" w:rsidRPr="00D951AD" w:rsidRDefault="00F96873" w:rsidP="00D951AD">
      <w:pPr>
        <w:widowControl w:val="0"/>
        <w:spacing w:after="0" w:line="480" w:lineRule="auto"/>
        <w:ind w:right="187"/>
        <w:jc w:val="both"/>
        <w:rPr>
          <w:rFonts w:ascii="Times New Roman" w:eastAsia="Calibri" w:hAnsi="Times New Roman" w:cs="Times New Roman"/>
          <w:color w:val="000000"/>
          <w:sz w:val="24"/>
          <w:szCs w:val="24"/>
          <w:u w:val="single"/>
          <w:lang w:val="en-US"/>
        </w:rPr>
      </w:pPr>
      <w:r w:rsidRPr="00F96873">
        <w:rPr>
          <w:rFonts w:ascii="Times New Roman" w:eastAsia="Calibri" w:hAnsi="Times New Roman" w:cs="Times New Roman"/>
          <w:color w:val="000000"/>
          <w:sz w:val="24"/>
          <w:szCs w:val="24"/>
          <w:u w:val="single"/>
          <w:lang w:val="en-US"/>
        </w:rPr>
        <w:t>E</w:t>
      </w:r>
      <w:r w:rsidR="00D951AD" w:rsidRPr="00D951AD">
        <w:rPr>
          <w:rFonts w:ascii="Times New Roman" w:eastAsia="Calibri" w:hAnsi="Times New Roman" w:cs="Times New Roman"/>
          <w:color w:val="000000"/>
          <w:sz w:val="24"/>
          <w:szCs w:val="24"/>
          <w:u w:val="single"/>
          <w:lang w:val="en-US"/>
        </w:rPr>
        <w:t>1.</w:t>
      </w:r>
      <w:r w:rsidR="00D951AD" w:rsidRPr="00D951AD">
        <w:rPr>
          <w:rFonts w:ascii="Times New Roman" w:eastAsia="Calibri" w:hAnsi="Times New Roman" w:cs="Times New Roman"/>
          <w:color w:val="000000"/>
          <w:sz w:val="24"/>
          <w:szCs w:val="24"/>
          <w:u w:val="single"/>
          <w:lang w:val="en-US"/>
        </w:rPr>
        <w:tab/>
        <w:t>Dupont WD, Plummer WD, Jr. Power and sample size calculations. A review and computer program. Control Clin Trials. 1990 Apr;11(2):116-28.</w:t>
      </w:r>
      <w:bookmarkEnd w:id="18"/>
    </w:p>
    <w:p w14:paraId="7E313A10" w14:textId="13C290C6" w:rsidR="00D951AD" w:rsidRPr="00D951AD" w:rsidRDefault="00F96873" w:rsidP="00D951AD">
      <w:pPr>
        <w:widowControl w:val="0"/>
        <w:spacing w:after="0" w:line="480" w:lineRule="auto"/>
        <w:ind w:right="187"/>
        <w:jc w:val="both"/>
        <w:rPr>
          <w:rFonts w:ascii="Times New Roman" w:eastAsia="Calibri" w:hAnsi="Times New Roman" w:cs="Times New Roman"/>
          <w:color w:val="000000"/>
          <w:sz w:val="24"/>
          <w:szCs w:val="24"/>
          <w:u w:val="single"/>
          <w:lang w:val="en-US"/>
        </w:rPr>
      </w:pPr>
      <w:bookmarkStart w:id="19" w:name="_ENREF_2"/>
      <w:r w:rsidRPr="00F96873">
        <w:rPr>
          <w:rFonts w:ascii="Times New Roman" w:eastAsia="Calibri" w:hAnsi="Times New Roman" w:cs="Times New Roman"/>
          <w:color w:val="000000"/>
          <w:sz w:val="24"/>
          <w:szCs w:val="24"/>
          <w:u w:val="single"/>
          <w:lang w:val="en-US"/>
        </w:rPr>
        <w:t>E</w:t>
      </w:r>
      <w:r w:rsidR="00D951AD" w:rsidRPr="00D951AD">
        <w:rPr>
          <w:rFonts w:ascii="Times New Roman" w:eastAsia="Calibri" w:hAnsi="Times New Roman" w:cs="Times New Roman"/>
          <w:color w:val="000000"/>
          <w:sz w:val="24"/>
          <w:szCs w:val="24"/>
          <w:u w:val="single"/>
          <w:lang w:val="en-US"/>
        </w:rPr>
        <w:t>2.</w:t>
      </w:r>
      <w:r w:rsidR="00D951AD" w:rsidRPr="00D951AD">
        <w:rPr>
          <w:rFonts w:ascii="Times New Roman" w:eastAsia="Calibri" w:hAnsi="Times New Roman" w:cs="Times New Roman"/>
          <w:color w:val="000000"/>
          <w:sz w:val="24"/>
          <w:szCs w:val="24"/>
          <w:u w:val="single"/>
          <w:lang w:val="en-US"/>
        </w:rPr>
        <w:tab/>
        <w:t xml:space="preserve">Ortega HG, Liu MC, </w:t>
      </w:r>
      <w:proofErr w:type="spellStart"/>
      <w:r w:rsidR="00D951AD" w:rsidRPr="00D951AD">
        <w:rPr>
          <w:rFonts w:ascii="Times New Roman" w:eastAsia="Calibri" w:hAnsi="Times New Roman" w:cs="Times New Roman"/>
          <w:color w:val="000000"/>
          <w:sz w:val="24"/>
          <w:szCs w:val="24"/>
          <w:u w:val="single"/>
          <w:lang w:val="en-US"/>
        </w:rPr>
        <w:t>Pavord</w:t>
      </w:r>
      <w:proofErr w:type="spellEnd"/>
      <w:r w:rsidR="00D951AD" w:rsidRPr="00D951AD">
        <w:rPr>
          <w:rFonts w:ascii="Times New Roman" w:eastAsia="Calibri" w:hAnsi="Times New Roman" w:cs="Times New Roman"/>
          <w:color w:val="000000"/>
          <w:sz w:val="24"/>
          <w:szCs w:val="24"/>
          <w:u w:val="single"/>
          <w:lang w:val="en-US"/>
        </w:rPr>
        <w:t xml:space="preserve"> ID, </w:t>
      </w:r>
      <w:proofErr w:type="spellStart"/>
      <w:r w:rsidR="00D951AD" w:rsidRPr="00D951AD">
        <w:rPr>
          <w:rFonts w:ascii="Times New Roman" w:eastAsia="Calibri" w:hAnsi="Times New Roman" w:cs="Times New Roman"/>
          <w:color w:val="000000"/>
          <w:sz w:val="24"/>
          <w:szCs w:val="24"/>
          <w:u w:val="single"/>
          <w:lang w:val="en-US"/>
        </w:rPr>
        <w:t>Brusselle</w:t>
      </w:r>
      <w:proofErr w:type="spellEnd"/>
      <w:r w:rsidR="00D951AD" w:rsidRPr="00D951AD">
        <w:rPr>
          <w:rFonts w:ascii="Times New Roman" w:eastAsia="Calibri" w:hAnsi="Times New Roman" w:cs="Times New Roman"/>
          <w:color w:val="000000"/>
          <w:sz w:val="24"/>
          <w:szCs w:val="24"/>
          <w:u w:val="single"/>
          <w:lang w:val="en-US"/>
        </w:rPr>
        <w:t xml:space="preserve"> GG, FitzGerald JM, </w:t>
      </w:r>
      <w:proofErr w:type="spellStart"/>
      <w:r w:rsidR="00D951AD" w:rsidRPr="00D951AD">
        <w:rPr>
          <w:rFonts w:ascii="Times New Roman" w:eastAsia="Calibri" w:hAnsi="Times New Roman" w:cs="Times New Roman"/>
          <w:color w:val="000000"/>
          <w:sz w:val="24"/>
          <w:szCs w:val="24"/>
          <w:u w:val="single"/>
          <w:lang w:val="en-US"/>
        </w:rPr>
        <w:t>Chetta</w:t>
      </w:r>
      <w:proofErr w:type="spellEnd"/>
      <w:r w:rsidR="00D951AD" w:rsidRPr="00D951AD">
        <w:rPr>
          <w:rFonts w:ascii="Times New Roman" w:eastAsia="Calibri" w:hAnsi="Times New Roman" w:cs="Times New Roman"/>
          <w:color w:val="000000"/>
          <w:sz w:val="24"/>
          <w:szCs w:val="24"/>
          <w:u w:val="single"/>
          <w:lang w:val="en-US"/>
        </w:rPr>
        <w:t xml:space="preserve"> A, et al. Mepolizumab treatment in patients with severe eosinophilic asthma. N </w:t>
      </w:r>
      <w:proofErr w:type="spellStart"/>
      <w:r w:rsidR="00D951AD" w:rsidRPr="00D951AD">
        <w:rPr>
          <w:rFonts w:ascii="Times New Roman" w:eastAsia="Calibri" w:hAnsi="Times New Roman" w:cs="Times New Roman"/>
          <w:color w:val="000000"/>
          <w:sz w:val="24"/>
          <w:szCs w:val="24"/>
          <w:u w:val="single"/>
          <w:lang w:val="en-US"/>
        </w:rPr>
        <w:t>Engl</w:t>
      </w:r>
      <w:proofErr w:type="spellEnd"/>
      <w:r w:rsidR="00D951AD" w:rsidRPr="00D951AD">
        <w:rPr>
          <w:rFonts w:ascii="Times New Roman" w:eastAsia="Calibri" w:hAnsi="Times New Roman" w:cs="Times New Roman"/>
          <w:color w:val="000000"/>
          <w:sz w:val="24"/>
          <w:szCs w:val="24"/>
          <w:u w:val="single"/>
          <w:lang w:val="en-US"/>
        </w:rPr>
        <w:t xml:space="preserve"> J Med. 2014 Sep 25;371(13):1198-207.</w:t>
      </w:r>
      <w:bookmarkEnd w:id="19"/>
    </w:p>
    <w:p w14:paraId="402942D9" w14:textId="77777777" w:rsidR="0048720E" w:rsidRDefault="0048720E" w:rsidP="006C4346">
      <w:pPr>
        <w:rPr>
          <w:rFonts w:ascii="Times New Roman" w:hAnsi="Times New Roman" w:cs="Times New Roman"/>
          <w:b/>
          <w:bCs/>
          <w:color w:val="000000" w:themeColor="text1"/>
          <w:sz w:val="24"/>
          <w:szCs w:val="24"/>
          <w:lang w:val="en-US"/>
        </w:rPr>
      </w:pPr>
    </w:p>
    <w:p w14:paraId="4789F4A0" w14:textId="77777777" w:rsidR="0048720E" w:rsidRDefault="0048720E" w:rsidP="006C4346">
      <w:pPr>
        <w:rPr>
          <w:rFonts w:ascii="Times New Roman" w:hAnsi="Times New Roman" w:cs="Times New Roman"/>
          <w:b/>
          <w:bCs/>
          <w:color w:val="000000" w:themeColor="text1"/>
          <w:sz w:val="24"/>
          <w:szCs w:val="24"/>
          <w:lang w:val="en-US"/>
        </w:rPr>
      </w:pPr>
    </w:p>
    <w:p w14:paraId="00F6FDC9" w14:textId="77777777" w:rsidR="0048720E" w:rsidRDefault="0048720E" w:rsidP="006C4346">
      <w:pPr>
        <w:rPr>
          <w:rFonts w:ascii="Times New Roman" w:hAnsi="Times New Roman" w:cs="Times New Roman"/>
          <w:b/>
          <w:bCs/>
          <w:color w:val="000000" w:themeColor="text1"/>
          <w:sz w:val="24"/>
          <w:szCs w:val="24"/>
          <w:lang w:val="en-US"/>
        </w:rPr>
      </w:pPr>
    </w:p>
    <w:p w14:paraId="2FCCA8A0" w14:textId="77777777" w:rsidR="0048720E" w:rsidRDefault="0048720E" w:rsidP="006C4346">
      <w:pPr>
        <w:rPr>
          <w:rFonts w:ascii="Times New Roman" w:hAnsi="Times New Roman" w:cs="Times New Roman"/>
          <w:b/>
          <w:bCs/>
          <w:color w:val="000000" w:themeColor="text1"/>
          <w:sz w:val="24"/>
          <w:szCs w:val="24"/>
          <w:lang w:val="en-US"/>
        </w:rPr>
      </w:pPr>
    </w:p>
    <w:p w14:paraId="64F74759" w14:textId="77777777" w:rsidR="0048720E" w:rsidRDefault="0048720E" w:rsidP="006C4346">
      <w:pPr>
        <w:rPr>
          <w:rFonts w:ascii="Times New Roman" w:hAnsi="Times New Roman" w:cs="Times New Roman"/>
          <w:b/>
          <w:bCs/>
          <w:color w:val="000000" w:themeColor="text1"/>
          <w:sz w:val="24"/>
          <w:szCs w:val="24"/>
          <w:lang w:val="en-US"/>
        </w:rPr>
      </w:pPr>
    </w:p>
    <w:p w14:paraId="269329C9" w14:textId="77777777" w:rsidR="0048720E" w:rsidRDefault="0048720E" w:rsidP="006C4346">
      <w:pPr>
        <w:rPr>
          <w:rFonts w:ascii="Times New Roman" w:hAnsi="Times New Roman" w:cs="Times New Roman"/>
          <w:b/>
          <w:bCs/>
          <w:color w:val="000000" w:themeColor="text1"/>
          <w:sz w:val="24"/>
          <w:szCs w:val="24"/>
          <w:lang w:val="en-US"/>
        </w:rPr>
      </w:pPr>
    </w:p>
    <w:p w14:paraId="5E536AA6" w14:textId="77777777" w:rsidR="0048720E" w:rsidRDefault="0048720E" w:rsidP="006C4346">
      <w:pPr>
        <w:rPr>
          <w:rFonts w:ascii="Times New Roman" w:hAnsi="Times New Roman" w:cs="Times New Roman"/>
          <w:b/>
          <w:bCs/>
          <w:color w:val="000000" w:themeColor="text1"/>
          <w:sz w:val="24"/>
          <w:szCs w:val="24"/>
          <w:lang w:val="en-US"/>
        </w:rPr>
      </w:pPr>
    </w:p>
    <w:p w14:paraId="4BF52B2F" w14:textId="77777777" w:rsidR="0048720E" w:rsidRDefault="0048720E" w:rsidP="006C4346">
      <w:pPr>
        <w:rPr>
          <w:rFonts w:ascii="Times New Roman" w:hAnsi="Times New Roman" w:cs="Times New Roman"/>
          <w:b/>
          <w:bCs/>
          <w:color w:val="000000" w:themeColor="text1"/>
          <w:sz w:val="24"/>
          <w:szCs w:val="24"/>
          <w:lang w:val="en-US"/>
        </w:rPr>
      </w:pPr>
    </w:p>
    <w:p w14:paraId="1CD04D15" w14:textId="77777777" w:rsidR="0048720E" w:rsidRDefault="0048720E" w:rsidP="006C4346">
      <w:pPr>
        <w:rPr>
          <w:rFonts w:ascii="Times New Roman" w:hAnsi="Times New Roman" w:cs="Times New Roman"/>
          <w:b/>
          <w:bCs/>
          <w:color w:val="000000" w:themeColor="text1"/>
          <w:sz w:val="24"/>
          <w:szCs w:val="24"/>
          <w:lang w:val="en-US"/>
        </w:rPr>
      </w:pPr>
    </w:p>
    <w:p w14:paraId="2603A0C2" w14:textId="77777777" w:rsidR="0048720E" w:rsidRDefault="0048720E" w:rsidP="006C4346">
      <w:pPr>
        <w:rPr>
          <w:rFonts w:ascii="Times New Roman" w:hAnsi="Times New Roman" w:cs="Times New Roman"/>
          <w:b/>
          <w:bCs/>
          <w:color w:val="000000" w:themeColor="text1"/>
          <w:sz w:val="24"/>
          <w:szCs w:val="24"/>
          <w:lang w:val="en-US"/>
        </w:rPr>
      </w:pPr>
    </w:p>
    <w:p w14:paraId="14EA786A" w14:textId="77777777" w:rsidR="0048720E" w:rsidRDefault="0048720E" w:rsidP="006C4346">
      <w:pPr>
        <w:rPr>
          <w:rFonts w:ascii="Times New Roman" w:hAnsi="Times New Roman" w:cs="Times New Roman"/>
          <w:b/>
          <w:bCs/>
          <w:color w:val="000000" w:themeColor="text1"/>
          <w:sz w:val="24"/>
          <w:szCs w:val="24"/>
          <w:lang w:val="en-US"/>
        </w:rPr>
      </w:pPr>
    </w:p>
    <w:p w14:paraId="334B58C1" w14:textId="77777777" w:rsidR="00E127A8" w:rsidRDefault="00E127A8" w:rsidP="00E95F63">
      <w:pPr>
        <w:spacing w:after="0" w:line="480" w:lineRule="auto"/>
        <w:jc w:val="both"/>
        <w:rPr>
          <w:rFonts w:ascii="Times New Roman" w:hAnsi="Times New Roman" w:cs="Times New Roman"/>
          <w:b/>
          <w:bCs/>
          <w:sz w:val="24"/>
          <w:szCs w:val="24"/>
          <w:lang w:val="en-GB"/>
        </w:rPr>
      </w:pPr>
    </w:p>
    <w:p w14:paraId="0EA2F51C" w14:textId="77777777" w:rsidR="00E127A8" w:rsidRDefault="00E127A8" w:rsidP="00E95F63">
      <w:pPr>
        <w:spacing w:after="0" w:line="480" w:lineRule="auto"/>
        <w:jc w:val="both"/>
        <w:rPr>
          <w:rFonts w:ascii="Times New Roman" w:hAnsi="Times New Roman" w:cs="Times New Roman"/>
          <w:b/>
          <w:bCs/>
          <w:sz w:val="24"/>
          <w:szCs w:val="24"/>
          <w:lang w:val="en-GB"/>
        </w:rPr>
      </w:pPr>
    </w:p>
    <w:p w14:paraId="6266571E" w14:textId="77777777" w:rsidR="00E127A8" w:rsidRDefault="00E127A8" w:rsidP="00E95F63">
      <w:pPr>
        <w:spacing w:after="0" w:line="480" w:lineRule="auto"/>
        <w:jc w:val="both"/>
        <w:rPr>
          <w:rFonts w:ascii="Times New Roman" w:hAnsi="Times New Roman" w:cs="Times New Roman"/>
          <w:b/>
          <w:bCs/>
          <w:sz w:val="24"/>
          <w:szCs w:val="24"/>
          <w:lang w:val="en-GB"/>
        </w:rPr>
      </w:pPr>
    </w:p>
    <w:p w14:paraId="57901A38" w14:textId="77777777" w:rsidR="00E127A8" w:rsidRDefault="00E127A8" w:rsidP="00E95F63">
      <w:pPr>
        <w:spacing w:after="0" w:line="480" w:lineRule="auto"/>
        <w:jc w:val="both"/>
        <w:rPr>
          <w:rFonts w:ascii="Times New Roman" w:hAnsi="Times New Roman" w:cs="Times New Roman"/>
          <w:b/>
          <w:bCs/>
          <w:sz w:val="24"/>
          <w:szCs w:val="24"/>
          <w:lang w:val="en-GB"/>
        </w:rPr>
      </w:pPr>
    </w:p>
    <w:p w14:paraId="0C74E593" w14:textId="77777777" w:rsidR="00E127A8" w:rsidRDefault="00E127A8" w:rsidP="00E95F63">
      <w:pPr>
        <w:spacing w:after="0" w:line="480" w:lineRule="auto"/>
        <w:jc w:val="both"/>
        <w:rPr>
          <w:rFonts w:ascii="Times New Roman" w:hAnsi="Times New Roman" w:cs="Times New Roman"/>
          <w:b/>
          <w:bCs/>
          <w:sz w:val="24"/>
          <w:szCs w:val="24"/>
          <w:lang w:val="en-GB"/>
        </w:rPr>
      </w:pPr>
    </w:p>
    <w:p w14:paraId="68A65D8E" w14:textId="77777777" w:rsidR="00E127A8" w:rsidRDefault="00E127A8" w:rsidP="00E95F63">
      <w:pPr>
        <w:spacing w:after="0" w:line="480" w:lineRule="auto"/>
        <w:jc w:val="both"/>
        <w:rPr>
          <w:rFonts w:ascii="Times New Roman" w:hAnsi="Times New Roman" w:cs="Times New Roman"/>
          <w:b/>
          <w:bCs/>
          <w:sz w:val="24"/>
          <w:szCs w:val="24"/>
          <w:lang w:val="en-GB"/>
        </w:rPr>
      </w:pPr>
    </w:p>
    <w:p w14:paraId="310A545B" w14:textId="77777777" w:rsidR="00E127A8" w:rsidRDefault="00E127A8" w:rsidP="00E95F63">
      <w:pPr>
        <w:spacing w:after="0" w:line="480" w:lineRule="auto"/>
        <w:jc w:val="both"/>
        <w:rPr>
          <w:rFonts w:ascii="Times New Roman" w:hAnsi="Times New Roman" w:cs="Times New Roman"/>
          <w:b/>
          <w:bCs/>
          <w:sz w:val="24"/>
          <w:szCs w:val="24"/>
          <w:lang w:val="en-GB"/>
        </w:rPr>
      </w:pPr>
    </w:p>
    <w:p w14:paraId="51550B2B" w14:textId="41A3B79E" w:rsidR="00B57F6E" w:rsidRDefault="00B57F6E" w:rsidP="00E95F63">
      <w:pPr>
        <w:spacing w:after="0" w:line="48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Figure legends</w:t>
      </w:r>
    </w:p>
    <w:p w14:paraId="58D453F1" w14:textId="3BF10E11" w:rsidR="00C75F3E" w:rsidRPr="00E95F63" w:rsidRDefault="00B57F6E" w:rsidP="00E95F63">
      <w:pPr>
        <w:spacing w:after="0" w:line="48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Figure </w:t>
      </w:r>
      <w:r w:rsidR="006C4346">
        <w:rPr>
          <w:rFonts w:ascii="Times New Roman" w:hAnsi="Times New Roman" w:cs="Times New Roman"/>
          <w:b/>
          <w:bCs/>
          <w:sz w:val="24"/>
          <w:szCs w:val="24"/>
          <w:lang w:val="en-GB"/>
        </w:rPr>
        <w:t>E</w:t>
      </w:r>
      <w:r>
        <w:rPr>
          <w:rFonts w:ascii="Times New Roman" w:hAnsi="Times New Roman" w:cs="Times New Roman"/>
          <w:b/>
          <w:bCs/>
          <w:sz w:val="24"/>
          <w:szCs w:val="24"/>
          <w:lang w:val="en-GB"/>
        </w:rPr>
        <w:t xml:space="preserve">1: </w:t>
      </w:r>
      <w:r w:rsidR="00C75F3E" w:rsidRPr="00E95F63">
        <w:rPr>
          <w:rFonts w:ascii="Times New Roman" w:hAnsi="Times New Roman" w:cs="Times New Roman"/>
          <w:sz w:val="24"/>
          <w:szCs w:val="24"/>
          <w:lang w:val="en-GB"/>
        </w:rPr>
        <w:t>Flow chart of the study participants</w:t>
      </w:r>
      <w:r w:rsidR="00CB0A82">
        <w:rPr>
          <w:rFonts w:ascii="Times New Roman" w:hAnsi="Times New Roman" w:cs="Times New Roman"/>
          <w:sz w:val="24"/>
          <w:szCs w:val="24"/>
          <w:lang w:val="en-GB"/>
        </w:rPr>
        <w:t xml:space="preserve">. </w:t>
      </w:r>
    </w:p>
    <w:p w14:paraId="7486C06D" w14:textId="324C7829" w:rsidR="00AF44AC" w:rsidRDefault="00CB0A82" w:rsidP="00AF44AC">
      <w:pPr>
        <w:spacing w:after="0" w:line="480" w:lineRule="auto"/>
        <w:jc w:val="both"/>
        <w:rPr>
          <w:rFonts w:ascii="Times New Roman" w:hAnsi="Times New Roman" w:cs="Times New Roman"/>
          <w:sz w:val="24"/>
          <w:szCs w:val="24"/>
          <w:lang w:val="en-US"/>
        </w:rPr>
      </w:pPr>
      <w:r w:rsidRPr="0055002C">
        <w:rPr>
          <w:rFonts w:ascii="Times New Roman" w:hAnsi="Times New Roman" w:cs="Times New Roman"/>
          <w:b/>
          <w:bCs/>
          <w:sz w:val="24"/>
          <w:szCs w:val="24"/>
          <w:lang w:val="en-GB"/>
        </w:rPr>
        <w:t xml:space="preserve">Figure </w:t>
      </w:r>
      <w:r w:rsidR="006C4346">
        <w:rPr>
          <w:rFonts w:ascii="Times New Roman" w:hAnsi="Times New Roman" w:cs="Times New Roman"/>
          <w:b/>
          <w:bCs/>
          <w:sz w:val="24"/>
          <w:szCs w:val="24"/>
          <w:lang w:val="en-GB"/>
        </w:rPr>
        <w:t>E</w:t>
      </w:r>
      <w:r w:rsidRPr="0055002C">
        <w:rPr>
          <w:rFonts w:ascii="Times New Roman" w:hAnsi="Times New Roman" w:cs="Times New Roman"/>
          <w:b/>
          <w:bCs/>
          <w:sz w:val="24"/>
          <w:szCs w:val="24"/>
          <w:lang w:val="en-GB"/>
        </w:rPr>
        <w:t>2</w:t>
      </w:r>
      <w:r>
        <w:rPr>
          <w:rFonts w:ascii="Times New Roman" w:hAnsi="Times New Roman" w:cs="Times New Roman"/>
          <w:sz w:val="24"/>
          <w:szCs w:val="24"/>
          <w:lang w:val="en-GB"/>
        </w:rPr>
        <w:t xml:space="preserve">: </w:t>
      </w:r>
      <w:r w:rsidR="00C75F3E" w:rsidRPr="00E95F63">
        <w:rPr>
          <w:rFonts w:ascii="Times New Roman" w:hAnsi="Times New Roman" w:cs="Times New Roman"/>
          <w:sz w:val="24"/>
          <w:szCs w:val="24"/>
          <w:lang w:val="en-GB"/>
        </w:rPr>
        <w:t xml:space="preserve"> </w:t>
      </w:r>
      <w:r w:rsidR="00AF44AC" w:rsidRPr="00AF44AC">
        <w:rPr>
          <w:rFonts w:ascii="Times New Roman" w:eastAsiaTheme="majorEastAsia" w:hAnsi="Times New Roman" w:cs="Times New Roman"/>
          <w:bCs/>
          <w:color w:val="000000" w:themeColor="text1"/>
          <w:sz w:val="24"/>
          <w:szCs w:val="24"/>
          <w:lang w:val="en-US"/>
        </w:rPr>
        <w:t>Exacerbation evolution based on blood eosinophils at baseline</w:t>
      </w:r>
      <w:r w:rsidR="00AF44AC">
        <w:rPr>
          <w:rFonts w:ascii="Times New Roman" w:hAnsi="Times New Roman" w:cs="Times New Roman"/>
          <w:color w:val="000000" w:themeColor="text1"/>
          <w:sz w:val="24"/>
          <w:szCs w:val="24"/>
          <w:lang w:val="en-US"/>
        </w:rPr>
        <w:t xml:space="preserve">. For data see text. </w:t>
      </w:r>
    </w:p>
    <w:p w14:paraId="0AA3C28B" w14:textId="3C85460F" w:rsidR="002B680D" w:rsidRPr="00E95F63" w:rsidRDefault="00CB0A82" w:rsidP="00AF44AC">
      <w:pPr>
        <w:spacing w:after="0" w:line="480" w:lineRule="auto"/>
        <w:jc w:val="both"/>
        <w:rPr>
          <w:rFonts w:ascii="Times New Roman" w:hAnsi="Times New Roman" w:cs="Times New Roman"/>
          <w:sz w:val="24"/>
          <w:szCs w:val="24"/>
          <w:lang w:val="en-US"/>
        </w:rPr>
      </w:pPr>
      <w:r w:rsidRPr="0055002C">
        <w:rPr>
          <w:rFonts w:ascii="Times New Roman" w:hAnsi="Times New Roman" w:cs="Times New Roman"/>
          <w:b/>
          <w:bCs/>
          <w:sz w:val="24"/>
          <w:szCs w:val="24"/>
          <w:lang w:val="en-US"/>
        </w:rPr>
        <w:t xml:space="preserve">Figure </w:t>
      </w:r>
      <w:r w:rsidR="006C4346">
        <w:rPr>
          <w:rFonts w:ascii="Times New Roman" w:hAnsi="Times New Roman" w:cs="Times New Roman"/>
          <w:b/>
          <w:bCs/>
          <w:sz w:val="24"/>
          <w:szCs w:val="24"/>
          <w:lang w:val="en-US"/>
        </w:rPr>
        <w:t>E</w:t>
      </w:r>
      <w:r w:rsidRPr="0055002C">
        <w:rPr>
          <w:rFonts w:ascii="Times New Roman" w:hAnsi="Times New Roman" w:cs="Times New Roman"/>
          <w:b/>
          <w:bCs/>
          <w:sz w:val="24"/>
          <w:szCs w:val="24"/>
          <w:lang w:val="en-US"/>
        </w:rPr>
        <w:t>3:</w:t>
      </w:r>
      <w:r>
        <w:rPr>
          <w:rFonts w:ascii="Times New Roman" w:hAnsi="Times New Roman" w:cs="Times New Roman"/>
          <w:sz w:val="24"/>
          <w:szCs w:val="24"/>
          <w:lang w:val="en-US"/>
        </w:rPr>
        <w:t xml:space="preserve"> </w:t>
      </w:r>
      <w:r w:rsidR="00C75F3E" w:rsidRPr="00E95F63">
        <w:rPr>
          <w:rFonts w:ascii="Times New Roman" w:hAnsi="Times New Roman" w:cs="Times New Roman"/>
          <w:sz w:val="24"/>
          <w:szCs w:val="24"/>
          <w:lang w:val="en-US"/>
        </w:rPr>
        <w:t>Patients who discontinued OCS during the one year of treatment with mepolizumab.</w:t>
      </w:r>
      <w:r w:rsidR="001358BD">
        <w:rPr>
          <w:rFonts w:ascii="Times New Roman" w:hAnsi="Times New Roman" w:cs="Times New Roman"/>
          <w:sz w:val="24"/>
          <w:szCs w:val="24"/>
          <w:lang w:val="en-US"/>
        </w:rPr>
        <w:t xml:space="preserve"> For data see text.</w:t>
      </w:r>
    </w:p>
    <w:sectPr w:rsidR="002B680D" w:rsidRPr="00E95F63" w:rsidSect="00E127A8">
      <w:footerReference w:type="default" r:id="rId6"/>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7516" w14:textId="77777777" w:rsidR="009F4E5C" w:rsidRDefault="009F4E5C" w:rsidP="008B7E8A">
      <w:pPr>
        <w:spacing w:after="0" w:line="240" w:lineRule="auto"/>
      </w:pPr>
      <w:r>
        <w:separator/>
      </w:r>
    </w:p>
  </w:endnote>
  <w:endnote w:type="continuationSeparator" w:id="0">
    <w:p w14:paraId="7CD44D35" w14:textId="77777777" w:rsidR="009F4E5C" w:rsidRDefault="009F4E5C" w:rsidP="008B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2267828"/>
      <w:docPartObj>
        <w:docPartGallery w:val="Page Numbers (Bottom of Page)"/>
        <w:docPartUnique/>
      </w:docPartObj>
    </w:sdtPr>
    <w:sdtEndPr/>
    <w:sdtContent>
      <w:p w14:paraId="3C9C8ECC" w14:textId="089AC477" w:rsidR="008B7E8A" w:rsidRDefault="008B7E8A">
        <w:pPr>
          <w:pStyle w:val="a6"/>
          <w:jc w:val="center"/>
        </w:pPr>
        <w:r>
          <w:fldChar w:fldCharType="begin"/>
        </w:r>
        <w:r>
          <w:instrText>PAGE   \* MERGEFORMAT</w:instrText>
        </w:r>
        <w:r>
          <w:fldChar w:fldCharType="separate"/>
        </w:r>
        <w:r>
          <w:t>2</w:t>
        </w:r>
        <w:r>
          <w:fldChar w:fldCharType="end"/>
        </w:r>
      </w:p>
    </w:sdtContent>
  </w:sdt>
  <w:p w14:paraId="166C30C6" w14:textId="77777777" w:rsidR="008B7E8A" w:rsidRDefault="008B7E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202FD" w14:textId="77777777" w:rsidR="009F4E5C" w:rsidRDefault="009F4E5C" w:rsidP="008B7E8A">
      <w:pPr>
        <w:spacing w:after="0" w:line="240" w:lineRule="auto"/>
      </w:pPr>
      <w:r>
        <w:separator/>
      </w:r>
    </w:p>
  </w:footnote>
  <w:footnote w:type="continuationSeparator" w:id="0">
    <w:p w14:paraId="4471C68F" w14:textId="77777777" w:rsidR="009F4E5C" w:rsidRDefault="009F4E5C" w:rsidP="008B7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4E9"/>
    <w:rsid w:val="00044552"/>
    <w:rsid w:val="001304E9"/>
    <w:rsid w:val="001358BD"/>
    <w:rsid w:val="001A2AC4"/>
    <w:rsid w:val="00200ECD"/>
    <w:rsid w:val="002A4F9F"/>
    <w:rsid w:val="002B680D"/>
    <w:rsid w:val="002F451B"/>
    <w:rsid w:val="003F4279"/>
    <w:rsid w:val="00403EDD"/>
    <w:rsid w:val="00466A58"/>
    <w:rsid w:val="0048720E"/>
    <w:rsid w:val="0055002C"/>
    <w:rsid w:val="00550CA4"/>
    <w:rsid w:val="006270B7"/>
    <w:rsid w:val="00694CAB"/>
    <w:rsid w:val="0069768A"/>
    <w:rsid w:val="006C4346"/>
    <w:rsid w:val="00794DBD"/>
    <w:rsid w:val="007F35FD"/>
    <w:rsid w:val="00805740"/>
    <w:rsid w:val="008B7E8A"/>
    <w:rsid w:val="008F471F"/>
    <w:rsid w:val="00972745"/>
    <w:rsid w:val="009F4E5C"/>
    <w:rsid w:val="00A93800"/>
    <w:rsid w:val="00AF44AC"/>
    <w:rsid w:val="00B336D3"/>
    <w:rsid w:val="00B35A30"/>
    <w:rsid w:val="00B57F6E"/>
    <w:rsid w:val="00BC149B"/>
    <w:rsid w:val="00BD69B4"/>
    <w:rsid w:val="00C5747B"/>
    <w:rsid w:val="00C75F3E"/>
    <w:rsid w:val="00CB0A82"/>
    <w:rsid w:val="00CC7287"/>
    <w:rsid w:val="00CD064D"/>
    <w:rsid w:val="00D951AD"/>
    <w:rsid w:val="00DA1D8C"/>
    <w:rsid w:val="00E127A8"/>
    <w:rsid w:val="00E402E9"/>
    <w:rsid w:val="00E51D3E"/>
    <w:rsid w:val="00E95F63"/>
    <w:rsid w:val="00F16D07"/>
    <w:rsid w:val="00F574C4"/>
    <w:rsid w:val="00F96873"/>
    <w:rsid w:val="00FE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B945"/>
  <w15:docId w15:val="{26882608-9124-4919-A3C9-F6F6BC2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4E9"/>
    <w:pPr>
      <w:spacing w:after="200" w:line="276"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00ECD"/>
    <w:rPr>
      <w:color w:val="0563C1" w:themeColor="hyperlink"/>
      <w:u w:val="single"/>
    </w:rPr>
  </w:style>
  <w:style w:type="character" w:styleId="a4">
    <w:name w:val="Unresolved Mention"/>
    <w:basedOn w:val="a0"/>
    <w:uiPriority w:val="99"/>
    <w:semiHidden/>
    <w:unhideWhenUsed/>
    <w:rsid w:val="00D951AD"/>
    <w:rPr>
      <w:color w:val="605E5C"/>
      <w:shd w:val="clear" w:color="auto" w:fill="E1DFDD"/>
    </w:rPr>
  </w:style>
  <w:style w:type="paragraph" w:styleId="a5">
    <w:name w:val="header"/>
    <w:basedOn w:val="a"/>
    <w:link w:val="Char"/>
    <w:uiPriority w:val="99"/>
    <w:unhideWhenUsed/>
    <w:rsid w:val="008B7E8A"/>
    <w:pPr>
      <w:tabs>
        <w:tab w:val="center" w:pos="4320"/>
        <w:tab w:val="right" w:pos="8640"/>
      </w:tabs>
      <w:spacing w:after="0" w:line="240" w:lineRule="auto"/>
    </w:pPr>
  </w:style>
  <w:style w:type="character" w:customStyle="1" w:styleId="Char">
    <w:name w:val="Κεφαλίδα Char"/>
    <w:basedOn w:val="a0"/>
    <w:link w:val="a5"/>
    <w:uiPriority w:val="99"/>
    <w:rsid w:val="008B7E8A"/>
    <w:rPr>
      <w:lang w:val="el-GR"/>
    </w:rPr>
  </w:style>
  <w:style w:type="paragraph" w:styleId="a6">
    <w:name w:val="footer"/>
    <w:basedOn w:val="a"/>
    <w:link w:val="Char0"/>
    <w:uiPriority w:val="99"/>
    <w:unhideWhenUsed/>
    <w:rsid w:val="008B7E8A"/>
    <w:pPr>
      <w:tabs>
        <w:tab w:val="center" w:pos="4320"/>
        <w:tab w:val="right" w:pos="8640"/>
      </w:tabs>
      <w:spacing w:after="0" w:line="240" w:lineRule="auto"/>
    </w:pPr>
  </w:style>
  <w:style w:type="character" w:customStyle="1" w:styleId="Char0">
    <w:name w:val="Υποσέλιδο Char"/>
    <w:basedOn w:val="a0"/>
    <w:link w:val="a6"/>
    <w:uiPriority w:val="99"/>
    <w:rsid w:val="008B7E8A"/>
    <w:rPr>
      <w:lang w:val="el-GR"/>
    </w:rPr>
  </w:style>
  <w:style w:type="character" w:styleId="a7">
    <w:name w:val="line number"/>
    <w:basedOn w:val="a0"/>
    <w:uiPriority w:val="99"/>
    <w:semiHidden/>
    <w:unhideWhenUsed/>
    <w:rsid w:val="00E12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579854">
      <w:bodyDiv w:val="1"/>
      <w:marLeft w:val="0"/>
      <w:marRight w:val="0"/>
      <w:marTop w:val="0"/>
      <w:marBottom w:val="0"/>
      <w:divBdr>
        <w:top w:val="none" w:sz="0" w:space="0" w:color="auto"/>
        <w:left w:val="none" w:sz="0" w:space="0" w:color="auto"/>
        <w:bottom w:val="none" w:sz="0" w:space="0" w:color="auto"/>
        <w:right w:val="none" w:sz="0" w:space="0" w:color="auto"/>
      </w:divBdr>
    </w:div>
    <w:div w:id="2107073937">
      <w:bodyDiv w:val="1"/>
      <w:marLeft w:val="0"/>
      <w:marRight w:val="0"/>
      <w:marTop w:val="0"/>
      <w:marBottom w:val="0"/>
      <w:divBdr>
        <w:top w:val="none" w:sz="0" w:space="0" w:color="auto"/>
        <w:left w:val="none" w:sz="0" w:space="0" w:color="auto"/>
        <w:bottom w:val="none" w:sz="0" w:space="0" w:color="auto"/>
        <w:right w:val="none" w:sz="0" w:space="0" w:color="auto"/>
      </w:divBdr>
    </w:div>
    <w:div w:id="21210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1293</Words>
  <Characters>6986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 Loukides</dc:creator>
  <cp:lastModifiedBy>Stelios Loukides</cp:lastModifiedBy>
  <cp:revision>23</cp:revision>
  <dcterms:created xsi:type="dcterms:W3CDTF">2020-02-09T10:12:00Z</dcterms:created>
  <dcterms:modified xsi:type="dcterms:W3CDTF">2020-05-05T07:26:00Z</dcterms:modified>
</cp:coreProperties>
</file>