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25" w:rsidRPr="004E088D" w:rsidRDefault="001F0825" w:rsidP="001F0825">
      <w:pPr>
        <w:wordWrap/>
        <w:spacing w:line="360" w:lineRule="auto"/>
        <w:rPr>
          <w:rFonts w:ascii="Times New Roman"/>
          <w:b/>
          <w:color w:val="000000" w:themeColor="text1"/>
          <w:sz w:val="28"/>
          <w:szCs w:val="24"/>
        </w:rPr>
      </w:pPr>
      <w:r w:rsidRPr="004E088D">
        <w:rPr>
          <w:rFonts w:ascii="Times New Roman"/>
          <w:b/>
          <w:color w:val="000000" w:themeColor="text1"/>
          <w:sz w:val="28"/>
          <w:szCs w:val="24"/>
        </w:rPr>
        <w:t>Supplementary Materials</w:t>
      </w:r>
    </w:p>
    <w:p w:rsidR="001F0825" w:rsidRDefault="001F0825" w:rsidP="001F0825">
      <w:pPr>
        <w:wordWrap/>
        <w:spacing w:line="360" w:lineRule="auto"/>
        <w:rPr>
          <w:rFonts w:ascii="Times New Roman"/>
          <w:b/>
          <w:color w:val="000000" w:themeColor="text1"/>
          <w:sz w:val="24"/>
          <w:szCs w:val="24"/>
        </w:rPr>
      </w:pPr>
    </w:p>
    <w:p w:rsidR="001F0825" w:rsidRPr="00A15A78" w:rsidRDefault="001F0825" w:rsidP="001F0825">
      <w:pPr>
        <w:spacing w:line="480" w:lineRule="auto"/>
        <w:jc w:val="center"/>
        <w:rPr>
          <w:rFonts w:ascii="Cambria" w:hAnsi="Cambria" w:cs="Times New Roman"/>
          <w:b/>
          <w:bCs/>
          <w:i/>
          <w:iCs/>
          <w:color w:val="000000" w:themeColor="text1"/>
          <w:kern w:val="0"/>
          <w:sz w:val="28"/>
          <w:szCs w:val="28"/>
        </w:rPr>
      </w:pPr>
      <w:r w:rsidRPr="00A15A78">
        <w:rPr>
          <w:rFonts w:ascii="Cambria" w:hAnsi="Cambria" w:cs="Times New Roman"/>
          <w:b/>
          <w:bCs/>
          <w:i/>
          <w:iCs/>
          <w:color w:val="000000" w:themeColor="text1"/>
          <w:kern w:val="0"/>
          <w:sz w:val="28"/>
          <w:szCs w:val="28"/>
        </w:rPr>
        <w:t>Intramural hematoma shape and acute cerebral infarction in intracranial artery dissection; a high-resolution magnetic resonance imaging study</w:t>
      </w:r>
    </w:p>
    <w:p w:rsidR="00615D47" w:rsidRDefault="001F0825" w:rsidP="001F0825">
      <w:pPr>
        <w:wordWrap/>
        <w:spacing w:line="360" w:lineRule="auto"/>
        <w:rPr>
          <w:rFonts w:ascii="Times New Roman"/>
          <w:b/>
          <w:color w:val="000000" w:themeColor="text1"/>
          <w:sz w:val="28"/>
          <w:szCs w:val="24"/>
        </w:rPr>
      </w:pPr>
      <w:r w:rsidRPr="00615D47">
        <w:rPr>
          <w:rFonts w:ascii="Times New Roman" w:hint="eastAsia"/>
          <w:b/>
          <w:color w:val="000000" w:themeColor="text1"/>
          <w:sz w:val="28"/>
          <w:szCs w:val="24"/>
        </w:rPr>
        <w:t>Supplem</w:t>
      </w:r>
      <w:r w:rsidRPr="00615D47">
        <w:rPr>
          <w:rFonts w:ascii="Times New Roman"/>
          <w:b/>
          <w:color w:val="000000" w:themeColor="text1"/>
          <w:sz w:val="28"/>
          <w:szCs w:val="24"/>
        </w:rPr>
        <w:t xml:space="preserve">entary Methods </w:t>
      </w:r>
    </w:p>
    <w:p w:rsidR="00615D47" w:rsidRDefault="00615D47" w:rsidP="001F0825">
      <w:pPr>
        <w:wordWrap/>
        <w:spacing w:line="360" w:lineRule="auto"/>
        <w:rPr>
          <w:rFonts w:ascii="Times New Roman"/>
          <w:b/>
          <w:color w:val="000000" w:themeColor="text1"/>
          <w:sz w:val="28"/>
          <w:szCs w:val="24"/>
        </w:rPr>
      </w:pPr>
    </w:p>
    <w:p w:rsidR="001F0825" w:rsidRDefault="001F0825" w:rsidP="001F0825">
      <w:pPr>
        <w:wordWrap/>
        <w:spacing w:line="360" w:lineRule="auto"/>
        <w:rPr>
          <w:rFonts w:ascii="Times New Roman"/>
          <w:b/>
          <w:color w:val="000000" w:themeColor="text1"/>
          <w:sz w:val="24"/>
          <w:szCs w:val="24"/>
        </w:rPr>
      </w:pPr>
      <w:r>
        <w:rPr>
          <w:rFonts w:ascii="Times New Roman"/>
          <w:b/>
          <w:color w:val="000000" w:themeColor="text1"/>
          <w:sz w:val="24"/>
          <w:szCs w:val="24"/>
        </w:rPr>
        <w:t xml:space="preserve">I. </w:t>
      </w:r>
      <w:r w:rsidR="00615D47">
        <w:rPr>
          <w:rFonts w:ascii="Times New Roman"/>
          <w:b/>
          <w:color w:val="000000" w:themeColor="text1"/>
          <w:sz w:val="24"/>
          <w:szCs w:val="24"/>
        </w:rPr>
        <w:t>Inclusion</w:t>
      </w:r>
      <w:r w:rsidR="00615D47">
        <w:rPr>
          <w:rFonts w:ascii="Times New Roman"/>
          <w:b/>
          <w:color w:val="000000" w:themeColor="text1"/>
          <w:sz w:val="24"/>
          <w:szCs w:val="24"/>
        </w:rPr>
        <w:t xml:space="preserve"> and e</w:t>
      </w:r>
      <w:r w:rsidR="00615D47">
        <w:rPr>
          <w:rFonts w:ascii="Times New Roman"/>
          <w:b/>
          <w:color w:val="000000" w:themeColor="text1"/>
          <w:sz w:val="24"/>
          <w:szCs w:val="24"/>
        </w:rPr>
        <w:t>xclusion criteria</w:t>
      </w:r>
    </w:p>
    <w:p w:rsidR="00615D47" w:rsidRDefault="00615D47" w:rsidP="001F0825">
      <w:pPr>
        <w:wordWrap/>
        <w:spacing w:line="360" w:lineRule="auto"/>
        <w:rPr>
          <w:rFonts w:ascii="Times New Roman"/>
          <w:color w:val="000000" w:themeColor="text1"/>
          <w:sz w:val="24"/>
          <w:szCs w:val="24"/>
        </w:rPr>
      </w:pPr>
    </w:p>
    <w:p w:rsidR="001F0825" w:rsidRPr="00615D47" w:rsidRDefault="001F0825" w:rsidP="001F0825">
      <w:pPr>
        <w:wordWrap/>
        <w:spacing w:line="360" w:lineRule="auto"/>
        <w:rPr>
          <w:rFonts w:ascii="Times New Roman"/>
          <w:color w:val="000000" w:themeColor="text1"/>
          <w:sz w:val="24"/>
          <w:szCs w:val="24"/>
        </w:rPr>
      </w:pPr>
      <w:r w:rsidRPr="00615D47">
        <w:rPr>
          <w:rFonts w:ascii="Times New Roman"/>
          <w:color w:val="000000" w:themeColor="text1"/>
          <w:sz w:val="24"/>
          <w:szCs w:val="24"/>
        </w:rPr>
        <w:t>Inclusion criteria</w:t>
      </w:r>
    </w:p>
    <w:p w:rsidR="001F0825" w:rsidRDefault="001F0825" w:rsidP="001F0825">
      <w:pPr>
        <w:wordWrap/>
        <w:spacing w:line="360" w:lineRule="auto"/>
        <w:rPr>
          <w:rFonts w:ascii="Calibri" w:hAnsi="Calibri" w:cs="Times New Roman"/>
          <w:color w:val="000000" w:themeColor="text1"/>
          <w:sz w:val="22"/>
        </w:rPr>
      </w:pPr>
      <w:r w:rsidRPr="00B335E4">
        <w:rPr>
          <w:rFonts w:ascii="Calibri" w:hAnsi="Calibri" w:cs="Times New Roman"/>
          <w:color w:val="000000" w:themeColor="text1"/>
          <w:sz w:val="22"/>
        </w:rPr>
        <w:t>(1)</w:t>
      </w:r>
      <w:r w:rsidRPr="003A5E60">
        <w:t xml:space="preserve"> </w:t>
      </w:r>
      <w:r w:rsidR="00615D47">
        <w:t>E</w:t>
      </w:r>
      <w:r w:rsidRPr="003A5E60">
        <w:rPr>
          <w:rFonts w:ascii="Calibri" w:hAnsi="Calibri" w:cs="Times New Roman"/>
          <w:color w:val="000000" w:themeColor="text1"/>
          <w:sz w:val="22"/>
        </w:rPr>
        <w:t>nrollment within 7 days of symptom onset</w:t>
      </w:r>
    </w:p>
    <w:p w:rsidR="001F0825" w:rsidRDefault="001F0825" w:rsidP="001F0825">
      <w:pPr>
        <w:wordWrap/>
        <w:spacing w:line="360" w:lineRule="auto"/>
        <w:rPr>
          <w:rFonts w:ascii="Calibri" w:hAnsi="Calibri" w:cs="Times New Roman"/>
          <w:color w:val="000000" w:themeColor="text1"/>
          <w:sz w:val="22"/>
        </w:rPr>
      </w:pPr>
      <w:r w:rsidRPr="00B335E4">
        <w:rPr>
          <w:rFonts w:ascii="Calibri" w:hAnsi="Calibri" w:cs="Times New Roman"/>
          <w:color w:val="000000" w:themeColor="text1"/>
          <w:sz w:val="22"/>
        </w:rPr>
        <w:t xml:space="preserve">(2) HRMRI within 7 days </w:t>
      </w:r>
      <w:r>
        <w:rPr>
          <w:rFonts w:ascii="Calibri" w:hAnsi="Calibri" w:cs="Times New Roman"/>
          <w:color w:val="000000" w:themeColor="text1"/>
          <w:sz w:val="22"/>
        </w:rPr>
        <w:t>of</w:t>
      </w:r>
      <w:r w:rsidRPr="00B335E4">
        <w:rPr>
          <w:rFonts w:ascii="Calibri" w:hAnsi="Calibri" w:cs="Times New Roman"/>
          <w:color w:val="000000" w:themeColor="text1"/>
          <w:sz w:val="22"/>
        </w:rPr>
        <w:t xml:space="preserve"> symptom onset</w:t>
      </w:r>
    </w:p>
    <w:p w:rsidR="001F0825" w:rsidRDefault="001F0825" w:rsidP="001F0825">
      <w:pPr>
        <w:wordWrap/>
        <w:spacing w:line="360" w:lineRule="auto"/>
        <w:rPr>
          <w:rFonts w:ascii="Times New Roman"/>
          <w:b/>
          <w:color w:val="000000" w:themeColor="text1"/>
          <w:sz w:val="24"/>
          <w:szCs w:val="24"/>
        </w:rPr>
      </w:pPr>
      <w:r w:rsidRPr="00B335E4">
        <w:rPr>
          <w:rFonts w:ascii="Calibri" w:hAnsi="Calibri" w:cs="Times New Roman"/>
          <w:color w:val="000000" w:themeColor="text1"/>
          <w:sz w:val="22"/>
        </w:rPr>
        <w:t xml:space="preserve">(3) </w:t>
      </w:r>
      <w:r w:rsidR="00615D47">
        <w:rPr>
          <w:rFonts w:ascii="Calibri" w:hAnsi="Calibri" w:cs="Times New Roman"/>
          <w:color w:val="000000" w:themeColor="text1"/>
          <w:sz w:val="22"/>
        </w:rPr>
        <w:t>D</w:t>
      </w:r>
      <w:r>
        <w:rPr>
          <w:rFonts w:ascii="Calibri" w:hAnsi="Calibri" w:cs="Times New Roman"/>
          <w:color w:val="000000" w:themeColor="text1"/>
          <w:sz w:val="22"/>
        </w:rPr>
        <w:t xml:space="preserve">efinitive IAD on </w:t>
      </w:r>
      <w:r w:rsidRPr="00B335E4">
        <w:rPr>
          <w:rFonts w:ascii="Calibri" w:hAnsi="Calibri" w:cs="Times New Roman"/>
          <w:color w:val="000000" w:themeColor="text1"/>
          <w:sz w:val="22"/>
        </w:rPr>
        <w:t>HRMRI</w:t>
      </w:r>
    </w:p>
    <w:p w:rsidR="00615D47" w:rsidRDefault="00615D47" w:rsidP="001F0825">
      <w:pPr>
        <w:wordWrap/>
        <w:spacing w:line="360" w:lineRule="auto"/>
        <w:rPr>
          <w:rFonts w:ascii="Times New Roman"/>
          <w:color w:val="000000" w:themeColor="text1"/>
          <w:sz w:val="24"/>
          <w:szCs w:val="24"/>
        </w:rPr>
      </w:pPr>
    </w:p>
    <w:p w:rsidR="001F0825" w:rsidRPr="00615D47" w:rsidRDefault="001F0825" w:rsidP="001F0825">
      <w:pPr>
        <w:wordWrap/>
        <w:spacing w:line="360" w:lineRule="auto"/>
        <w:rPr>
          <w:rFonts w:ascii="Times New Roman"/>
          <w:color w:val="000000" w:themeColor="text1"/>
          <w:sz w:val="24"/>
          <w:szCs w:val="24"/>
        </w:rPr>
      </w:pPr>
      <w:r w:rsidRPr="00615D47">
        <w:rPr>
          <w:rFonts w:ascii="Times New Roman"/>
          <w:color w:val="000000" w:themeColor="text1"/>
          <w:sz w:val="24"/>
          <w:szCs w:val="24"/>
        </w:rPr>
        <w:t>Ex</w:t>
      </w:r>
      <w:r w:rsidRPr="00615D47">
        <w:rPr>
          <w:rFonts w:ascii="Times New Roman"/>
          <w:color w:val="000000" w:themeColor="text1"/>
          <w:sz w:val="24"/>
          <w:szCs w:val="24"/>
        </w:rPr>
        <w:t>clusion criteria</w:t>
      </w:r>
    </w:p>
    <w:p w:rsidR="001F0825" w:rsidRDefault="001F0825" w:rsidP="00B26041">
      <w:pPr>
        <w:wordWrap/>
        <w:snapToGrid w:val="0"/>
        <w:spacing w:line="480" w:lineRule="auto"/>
        <w:jc w:val="left"/>
        <w:rPr>
          <w:rFonts w:ascii="Calibri" w:hAnsi="Calibri" w:cs="Times New Roman"/>
          <w:color w:val="000000" w:themeColor="text1"/>
          <w:sz w:val="22"/>
        </w:rPr>
      </w:pPr>
      <w:r w:rsidRPr="00B335E4">
        <w:rPr>
          <w:rFonts w:ascii="Calibri" w:hAnsi="Calibri" w:cs="Times New Roman"/>
          <w:color w:val="000000" w:themeColor="text1"/>
          <w:sz w:val="22"/>
        </w:rPr>
        <w:t xml:space="preserve">(1) </w:t>
      </w:r>
      <w:r w:rsidR="00615D47">
        <w:rPr>
          <w:rFonts w:ascii="Calibri" w:hAnsi="Calibri" w:cs="Times New Roman"/>
          <w:color w:val="000000" w:themeColor="text1"/>
          <w:sz w:val="22"/>
        </w:rPr>
        <w:t>O</w:t>
      </w:r>
      <w:r w:rsidRPr="00B335E4">
        <w:rPr>
          <w:rFonts w:ascii="Calibri" w:hAnsi="Calibri" w:cs="Times New Roman"/>
          <w:color w:val="000000" w:themeColor="text1"/>
          <w:sz w:val="22"/>
        </w:rPr>
        <w:t xml:space="preserve">bviously severe atherosclerotic stenosis of </w:t>
      </w:r>
      <w:r>
        <w:rPr>
          <w:rFonts w:ascii="Calibri" w:hAnsi="Calibri" w:cs="Times New Roman"/>
          <w:color w:val="000000" w:themeColor="text1"/>
          <w:sz w:val="22"/>
        </w:rPr>
        <w:t>the relevant</w:t>
      </w:r>
      <w:r w:rsidRPr="00B335E4">
        <w:rPr>
          <w:rFonts w:ascii="Calibri" w:hAnsi="Calibri" w:cs="Times New Roman"/>
          <w:color w:val="000000" w:themeColor="text1"/>
          <w:sz w:val="22"/>
        </w:rPr>
        <w:t xml:space="preserve"> vessel</w:t>
      </w:r>
    </w:p>
    <w:p w:rsidR="001F0825" w:rsidRDefault="001F0825" w:rsidP="00B26041">
      <w:pPr>
        <w:wordWrap/>
        <w:snapToGrid w:val="0"/>
        <w:spacing w:line="480" w:lineRule="auto"/>
        <w:jc w:val="left"/>
        <w:rPr>
          <w:rFonts w:ascii="Calibri" w:hAnsi="Calibri" w:cs="Times New Roman"/>
          <w:color w:val="000000" w:themeColor="text1"/>
          <w:sz w:val="22"/>
        </w:rPr>
      </w:pPr>
      <w:r w:rsidRPr="00B335E4">
        <w:rPr>
          <w:rFonts w:ascii="Calibri" w:hAnsi="Calibri" w:cs="Times New Roman"/>
          <w:color w:val="000000" w:themeColor="text1"/>
          <w:sz w:val="22"/>
        </w:rPr>
        <w:t xml:space="preserve">(2) </w:t>
      </w:r>
      <w:r w:rsidR="00615D47">
        <w:rPr>
          <w:rFonts w:ascii="Calibri" w:hAnsi="Calibri" w:cs="Times New Roman"/>
          <w:color w:val="000000" w:themeColor="text1"/>
          <w:sz w:val="22"/>
        </w:rPr>
        <w:t>V</w:t>
      </w:r>
      <w:r w:rsidRPr="00B335E4">
        <w:rPr>
          <w:rFonts w:ascii="Calibri" w:hAnsi="Calibri" w:cs="Times New Roman"/>
          <w:color w:val="000000" w:themeColor="text1"/>
          <w:sz w:val="22"/>
        </w:rPr>
        <w:t>asculitis</w:t>
      </w:r>
    </w:p>
    <w:p w:rsidR="001F0825" w:rsidRDefault="001F0825" w:rsidP="00B26041">
      <w:pPr>
        <w:wordWrap/>
        <w:snapToGrid w:val="0"/>
        <w:spacing w:line="480" w:lineRule="auto"/>
        <w:jc w:val="left"/>
        <w:rPr>
          <w:rFonts w:ascii="Calibri" w:hAnsi="Calibri" w:cs="Times New Roman"/>
          <w:color w:val="000000" w:themeColor="text1"/>
          <w:sz w:val="22"/>
        </w:rPr>
      </w:pPr>
      <w:r w:rsidRPr="00B335E4">
        <w:rPr>
          <w:rFonts w:ascii="Calibri" w:hAnsi="Calibri" w:cs="Times New Roman"/>
          <w:color w:val="000000" w:themeColor="text1"/>
          <w:sz w:val="22"/>
        </w:rPr>
        <w:t>(</w:t>
      </w:r>
      <w:r>
        <w:rPr>
          <w:rFonts w:ascii="Calibri" w:hAnsi="Calibri" w:cs="Times New Roman"/>
          <w:color w:val="000000" w:themeColor="text1"/>
          <w:sz w:val="22"/>
        </w:rPr>
        <w:t>3</w:t>
      </w:r>
      <w:r w:rsidRPr="00B335E4">
        <w:rPr>
          <w:rFonts w:ascii="Calibri" w:hAnsi="Calibri" w:cs="Times New Roman"/>
          <w:color w:val="000000" w:themeColor="text1"/>
          <w:sz w:val="22"/>
        </w:rPr>
        <w:t xml:space="preserve">) </w:t>
      </w:r>
      <w:proofErr w:type="spellStart"/>
      <w:r w:rsidRPr="00B335E4">
        <w:rPr>
          <w:rFonts w:ascii="Calibri" w:hAnsi="Calibri" w:cs="Times New Roman"/>
          <w:color w:val="000000" w:themeColor="text1"/>
          <w:sz w:val="22"/>
        </w:rPr>
        <w:t>Moyamoya</w:t>
      </w:r>
      <w:proofErr w:type="spellEnd"/>
      <w:r w:rsidRPr="00B335E4">
        <w:rPr>
          <w:rFonts w:ascii="Calibri" w:hAnsi="Calibri" w:cs="Times New Roman"/>
          <w:color w:val="000000" w:themeColor="text1"/>
          <w:sz w:val="22"/>
        </w:rPr>
        <w:t xml:space="preserve"> disease</w:t>
      </w:r>
    </w:p>
    <w:p w:rsidR="001F0825" w:rsidRDefault="001F0825" w:rsidP="00B26041">
      <w:pPr>
        <w:wordWrap/>
        <w:snapToGrid w:val="0"/>
        <w:spacing w:line="480" w:lineRule="auto"/>
        <w:jc w:val="left"/>
        <w:rPr>
          <w:rFonts w:ascii="Calibri" w:hAnsi="Calibri" w:cs="Times New Roman"/>
          <w:color w:val="000000" w:themeColor="text1"/>
          <w:sz w:val="22"/>
        </w:rPr>
      </w:pPr>
      <w:r w:rsidRPr="00B335E4">
        <w:rPr>
          <w:rFonts w:ascii="Calibri" w:hAnsi="Calibri" w:cs="Times New Roman"/>
          <w:color w:val="000000" w:themeColor="text1"/>
          <w:sz w:val="22"/>
        </w:rPr>
        <w:t>(</w:t>
      </w:r>
      <w:r>
        <w:rPr>
          <w:rFonts w:ascii="Calibri" w:hAnsi="Calibri" w:cs="Times New Roman"/>
          <w:color w:val="000000" w:themeColor="text1"/>
          <w:sz w:val="22"/>
        </w:rPr>
        <w:t>4</w:t>
      </w:r>
      <w:r w:rsidRPr="00B335E4">
        <w:rPr>
          <w:rFonts w:ascii="Calibri" w:hAnsi="Calibri" w:cs="Times New Roman"/>
          <w:color w:val="000000" w:themeColor="text1"/>
          <w:sz w:val="22"/>
        </w:rPr>
        <w:t xml:space="preserve">) </w:t>
      </w:r>
      <w:r w:rsidR="00615D47">
        <w:rPr>
          <w:rFonts w:ascii="Calibri" w:hAnsi="Calibri" w:cs="Times New Roman"/>
          <w:color w:val="000000" w:themeColor="text1"/>
          <w:sz w:val="22"/>
        </w:rPr>
        <w:t>T</w:t>
      </w:r>
      <w:r w:rsidRPr="00B335E4">
        <w:rPr>
          <w:rFonts w:ascii="Calibri" w:hAnsi="Calibri" w:cs="Times New Roman"/>
          <w:color w:val="000000" w:themeColor="text1"/>
          <w:sz w:val="22"/>
        </w:rPr>
        <w:t>hromboembolism</w:t>
      </w:r>
    </w:p>
    <w:p w:rsidR="001F0825" w:rsidRDefault="001F0825" w:rsidP="00B26041">
      <w:pPr>
        <w:wordWrap/>
        <w:snapToGrid w:val="0"/>
        <w:spacing w:line="480" w:lineRule="auto"/>
        <w:jc w:val="left"/>
        <w:rPr>
          <w:rFonts w:ascii="Calibri" w:hAnsi="Calibri" w:cs="Times New Roman"/>
          <w:color w:val="000000" w:themeColor="text1"/>
          <w:sz w:val="22"/>
        </w:rPr>
      </w:pPr>
      <w:r w:rsidRPr="00B335E4">
        <w:rPr>
          <w:rFonts w:ascii="Calibri" w:hAnsi="Calibri" w:cs="Times New Roman"/>
          <w:color w:val="000000" w:themeColor="text1"/>
          <w:sz w:val="22"/>
        </w:rPr>
        <w:t>(</w:t>
      </w:r>
      <w:r>
        <w:rPr>
          <w:rFonts w:ascii="Calibri" w:hAnsi="Calibri" w:cs="Times New Roman"/>
          <w:color w:val="000000" w:themeColor="text1"/>
          <w:sz w:val="22"/>
        </w:rPr>
        <w:t>5</w:t>
      </w:r>
      <w:r w:rsidRPr="00B335E4">
        <w:rPr>
          <w:rFonts w:ascii="Calibri" w:hAnsi="Calibri" w:cs="Times New Roman"/>
          <w:color w:val="000000" w:themeColor="text1"/>
          <w:sz w:val="22"/>
        </w:rPr>
        <w:t xml:space="preserve">) </w:t>
      </w:r>
      <w:r w:rsidR="00615D47">
        <w:rPr>
          <w:rFonts w:ascii="Calibri" w:hAnsi="Calibri" w:cs="Times New Roman"/>
          <w:color w:val="000000" w:themeColor="text1"/>
          <w:sz w:val="22"/>
        </w:rPr>
        <w:t>T</w:t>
      </w:r>
      <w:r>
        <w:rPr>
          <w:rFonts w:ascii="Calibri" w:hAnsi="Calibri" w:cs="Times New Roman"/>
          <w:color w:val="000000" w:themeColor="text1"/>
          <w:sz w:val="22"/>
        </w:rPr>
        <w:t xml:space="preserve">wo </w:t>
      </w:r>
      <w:r w:rsidRPr="00B335E4">
        <w:rPr>
          <w:rFonts w:ascii="Calibri" w:hAnsi="Calibri" w:cs="Times New Roman"/>
          <w:color w:val="000000" w:themeColor="text1"/>
          <w:sz w:val="22"/>
        </w:rPr>
        <w:t>or more causes</w:t>
      </w:r>
    </w:p>
    <w:p w:rsidR="001F0825" w:rsidRDefault="001F0825" w:rsidP="00B26041">
      <w:pPr>
        <w:wordWrap/>
        <w:snapToGrid w:val="0"/>
        <w:spacing w:line="480" w:lineRule="auto"/>
        <w:jc w:val="left"/>
        <w:rPr>
          <w:rFonts w:ascii="Calibri" w:hAnsi="Calibri" w:cs="Times New Roman"/>
          <w:color w:val="000000" w:themeColor="text1"/>
          <w:sz w:val="22"/>
        </w:rPr>
      </w:pPr>
      <w:r w:rsidRPr="00B335E4">
        <w:rPr>
          <w:rFonts w:ascii="Calibri" w:hAnsi="Calibri" w:cs="Times New Roman"/>
          <w:color w:val="000000" w:themeColor="text1"/>
          <w:sz w:val="22"/>
        </w:rPr>
        <w:t>(</w:t>
      </w:r>
      <w:r>
        <w:rPr>
          <w:rFonts w:ascii="Calibri" w:hAnsi="Calibri" w:cs="Times New Roman"/>
          <w:color w:val="000000" w:themeColor="text1"/>
          <w:sz w:val="22"/>
        </w:rPr>
        <w:t>6</w:t>
      </w:r>
      <w:r w:rsidRPr="00B335E4">
        <w:rPr>
          <w:rFonts w:ascii="Calibri" w:hAnsi="Calibri" w:cs="Times New Roman"/>
          <w:color w:val="000000" w:themeColor="text1"/>
          <w:sz w:val="22"/>
        </w:rPr>
        <w:t xml:space="preserve">) </w:t>
      </w:r>
      <w:r w:rsidR="00615D47">
        <w:rPr>
          <w:rFonts w:ascii="Calibri" w:hAnsi="Calibri" w:cs="Times New Roman"/>
          <w:color w:val="000000" w:themeColor="text1"/>
          <w:sz w:val="22"/>
        </w:rPr>
        <w:t>U</w:t>
      </w:r>
      <w:r w:rsidRPr="00B335E4">
        <w:rPr>
          <w:rFonts w:ascii="Calibri" w:hAnsi="Calibri" w:cs="Times New Roman"/>
          <w:color w:val="000000" w:themeColor="text1"/>
          <w:sz w:val="22"/>
        </w:rPr>
        <w:t>nknown cause</w:t>
      </w:r>
    </w:p>
    <w:p w:rsidR="001F0825" w:rsidRDefault="001F0825" w:rsidP="00B26041">
      <w:pPr>
        <w:wordWrap/>
        <w:snapToGrid w:val="0"/>
        <w:spacing w:line="480" w:lineRule="auto"/>
        <w:jc w:val="left"/>
        <w:rPr>
          <w:rFonts w:ascii="Calibri" w:hAnsi="Calibri" w:cs="Times New Roman"/>
          <w:color w:val="000000" w:themeColor="text1"/>
          <w:kern w:val="0"/>
          <w:sz w:val="22"/>
        </w:rPr>
      </w:pPr>
      <w:r w:rsidRPr="00B335E4">
        <w:rPr>
          <w:rFonts w:ascii="Calibri" w:hAnsi="Calibri" w:cs="Times New Roman"/>
          <w:color w:val="000000" w:themeColor="text1"/>
          <w:kern w:val="0"/>
          <w:sz w:val="22"/>
        </w:rPr>
        <w:t>(</w:t>
      </w:r>
      <w:r>
        <w:rPr>
          <w:rFonts w:ascii="Calibri" w:hAnsi="Calibri" w:cs="Times New Roman"/>
          <w:color w:val="000000" w:themeColor="text1"/>
          <w:kern w:val="0"/>
          <w:sz w:val="22"/>
        </w:rPr>
        <w:t>7</w:t>
      </w:r>
      <w:r w:rsidRPr="00B335E4">
        <w:rPr>
          <w:rFonts w:ascii="Calibri" w:hAnsi="Calibri" w:cs="Times New Roman"/>
          <w:color w:val="000000" w:themeColor="text1"/>
          <w:kern w:val="0"/>
          <w:sz w:val="22"/>
        </w:rPr>
        <w:t xml:space="preserve">) </w:t>
      </w:r>
      <w:r w:rsidR="00615D47">
        <w:rPr>
          <w:rFonts w:ascii="Calibri" w:hAnsi="Calibri" w:cs="Times New Roman"/>
          <w:color w:val="000000" w:themeColor="text1"/>
          <w:kern w:val="0"/>
          <w:sz w:val="22"/>
        </w:rPr>
        <w:t>H</w:t>
      </w:r>
      <w:r w:rsidRPr="00B335E4">
        <w:rPr>
          <w:rFonts w:ascii="Calibri" w:hAnsi="Calibri" w:cs="Times New Roman"/>
          <w:color w:val="000000" w:themeColor="text1"/>
          <w:kern w:val="0"/>
          <w:sz w:val="22"/>
        </w:rPr>
        <w:t>ypercoagulable state</w:t>
      </w:r>
    </w:p>
    <w:p w:rsidR="00B26041" w:rsidRPr="001F0825" w:rsidRDefault="001F0825" w:rsidP="00B26041">
      <w:pPr>
        <w:wordWrap/>
        <w:snapToGrid w:val="0"/>
        <w:spacing w:line="480" w:lineRule="auto"/>
        <w:jc w:val="left"/>
        <w:rPr>
          <w:rFonts w:ascii="Calibri" w:hAnsi="Calibri" w:cs="Times New Roman"/>
          <w:color w:val="C00000"/>
          <w:sz w:val="22"/>
        </w:rPr>
      </w:pPr>
      <w:r w:rsidRPr="00B335E4">
        <w:rPr>
          <w:rFonts w:ascii="Calibri" w:hAnsi="Calibri" w:cs="Times New Roman"/>
          <w:color w:val="000000" w:themeColor="text1"/>
          <w:sz w:val="22"/>
        </w:rPr>
        <w:t>(</w:t>
      </w:r>
      <w:r>
        <w:rPr>
          <w:rFonts w:ascii="Calibri" w:hAnsi="Calibri" w:cs="Times New Roman"/>
          <w:color w:val="000000" w:themeColor="text1"/>
          <w:sz w:val="22"/>
        </w:rPr>
        <w:t>8</w:t>
      </w:r>
      <w:r w:rsidRPr="00B335E4">
        <w:rPr>
          <w:rFonts w:ascii="Calibri" w:hAnsi="Calibri" w:cs="Times New Roman"/>
          <w:color w:val="000000" w:themeColor="text1"/>
          <w:sz w:val="22"/>
        </w:rPr>
        <w:t xml:space="preserve">) </w:t>
      </w:r>
      <w:r w:rsidR="00615D47">
        <w:rPr>
          <w:rFonts w:ascii="Calibri" w:hAnsi="Calibri" w:cs="Times New Roman"/>
          <w:color w:val="000000" w:themeColor="text1"/>
          <w:sz w:val="22"/>
        </w:rPr>
        <w:t>B</w:t>
      </w:r>
      <w:r w:rsidRPr="00B335E4">
        <w:rPr>
          <w:rFonts w:ascii="Calibri" w:hAnsi="Calibri" w:cs="Times New Roman"/>
          <w:color w:val="000000" w:themeColor="text1"/>
          <w:sz w:val="22"/>
        </w:rPr>
        <w:t>rain tumor</w:t>
      </w:r>
    </w:p>
    <w:p w:rsidR="001F0825" w:rsidRPr="001F0825" w:rsidRDefault="001F0825" w:rsidP="00B26041">
      <w:pPr>
        <w:wordWrap/>
        <w:snapToGrid w:val="0"/>
        <w:spacing w:line="480" w:lineRule="auto"/>
        <w:jc w:val="left"/>
        <w:rPr>
          <w:rFonts w:ascii="Calibri" w:hAnsi="Calibri" w:cs="Times New Roman" w:hint="eastAsia"/>
          <w:color w:val="C00000"/>
          <w:sz w:val="22"/>
        </w:rPr>
      </w:pPr>
    </w:p>
    <w:p w:rsidR="00B26041" w:rsidRDefault="00B26041" w:rsidP="00B26041">
      <w:pPr>
        <w:wordWrap/>
        <w:snapToGrid w:val="0"/>
        <w:spacing w:line="480" w:lineRule="auto"/>
        <w:jc w:val="left"/>
        <w:rPr>
          <w:rFonts w:ascii="Calibri" w:hAnsi="Calibri" w:cs="Times New Roman"/>
          <w:color w:val="000000" w:themeColor="text1"/>
          <w:sz w:val="22"/>
        </w:rPr>
      </w:pPr>
    </w:p>
    <w:p w:rsidR="00615D47" w:rsidRDefault="00615D47" w:rsidP="00B26041">
      <w:pPr>
        <w:wordWrap/>
        <w:snapToGrid w:val="0"/>
        <w:spacing w:line="480" w:lineRule="auto"/>
        <w:jc w:val="left"/>
        <w:rPr>
          <w:rFonts w:ascii="Calibri" w:hAnsi="Calibri" w:cs="Times New Roman"/>
          <w:color w:val="000000" w:themeColor="text1"/>
          <w:sz w:val="22"/>
        </w:rPr>
      </w:pPr>
    </w:p>
    <w:p w:rsidR="00615D47" w:rsidRDefault="00615D47" w:rsidP="00B26041">
      <w:pPr>
        <w:wordWrap/>
        <w:snapToGrid w:val="0"/>
        <w:spacing w:line="480" w:lineRule="auto"/>
        <w:jc w:val="left"/>
        <w:rPr>
          <w:rFonts w:ascii="Calibri" w:hAnsi="Calibri" w:cs="Times New Roman"/>
          <w:color w:val="000000" w:themeColor="text1"/>
          <w:sz w:val="22"/>
        </w:rPr>
      </w:pPr>
    </w:p>
    <w:p w:rsidR="00615D47" w:rsidRDefault="00615D47" w:rsidP="00615D47">
      <w:pPr>
        <w:wordWrap/>
        <w:spacing w:line="360" w:lineRule="auto"/>
        <w:rPr>
          <w:rFonts w:ascii="Times New Roman"/>
          <w:b/>
          <w:color w:val="000000" w:themeColor="text1"/>
          <w:sz w:val="24"/>
          <w:szCs w:val="24"/>
        </w:rPr>
      </w:pPr>
      <w:r>
        <w:rPr>
          <w:rFonts w:ascii="Times New Roman"/>
          <w:b/>
          <w:color w:val="000000" w:themeColor="text1"/>
          <w:sz w:val="24"/>
          <w:szCs w:val="24"/>
        </w:rPr>
        <w:lastRenderedPageBreak/>
        <w:t>I</w:t>
      </w:r>
      <w:r>
        <w:rPr>
          <w:rFonts w:ascii="Times New Roman"/>
          <w:b/>
          <w:color w:val="000000" w:themeColor="text1"/>
          <w:sz w:val="24"/>
          <w:szCs w:val="24"/>
        </w:rPr>
        <w:t>I</w:t>
      </w:r>
      <w:r>
        <w:rPr>
          <w:rFonts w:ascii="Times New Roman"/>
          <w:b/>
          <w:color w:val="000000" w:themeColor="text1"/>
          <w:sz w:val="24"/>
          <w:szCs w:val="24"/>
        </w:rPr>
        <w:t xml:space="preserve">. </w:t>
      </w:r>
      <w:r w:rsidRPr="00615D47">
        <w:rPr>
          <w:rFonts w:ascii="Times New Roman"/>
          <w:b/>
          <w:color w:val="000000" w:themeColor="text1"/>
          <w:sz w:val="24"/>
          <w:szCs w:val="24"/>
        </w:rPr>
        <w:t>Imaging protocol</w:t>
      </w:r>
    </w:p>
    <w:p w:rsidR="008F6A55" w:rsidRPr="008F6A55" w:rsidRDefault="008F6A55" w:rsidP="008F6A55">
      <w:pPr>
        <w:wordWrap/>
        <w:snapToGrid w:val="0"/>
        <w:spacing w:line="480" w:lineRule="auto"/>
        <w:ind w:firstLine="800"/>
        <w:jc w:val="left"/>
        <w:rPr>
          <w:rFonts w:ascii="Calibri" w:hAnsi="Calibri" w:cs="Times New Roman"/>
          <w:color w:val="000000" w:themeColor="text1"/>
          <w:sz w:val="22"/>
        </w:rPr>
      </w:pPr>
      <w:bookmarkStart w:id="0" w:name="_GoBack"/>
      <w:bookmarkEnd w:id="0"/>
      <w:r w:rsidRPr="008F6A55">
        <w:rPr>
          <w:rFonts w:ascii="Calibri" w:hAnsi="Calibri" w:cs="Times New Roman"/>
          <w:color w:val="000000" w:themeColor="text1"/>
          <w:kern w:val="0"/>
          <w:sz w:val="22"/>
        </w:rPr>
        <w:t>All patients first underwent diffusion-weighted imaging, conventional MRI (T1- and T2-weighted imaging and fluid-attenuated inversion recovery), and MRA, including time-of-flight (TOF) of the circle of Willis and contrast-enhanced MRA of the circle of Willis and extracranial vessels. Computed tomography angiography</w:t>
      </w:r>
      <w:r w:rsidRPr="008F6A55" w:rsidDel="00340433">
        <w:rPr>
          <w:rFonts w:ascii="Calibri" w:hAnsi="Calibri" w:cs="Times New Roman"/>
          <w:color w:val="000000" w:themeColor="text1"/>
          <w:kern w:val="0"/>
          <w:sz w:val="22"/>
        </w:rPr>
        <w:t xml:space="preserve"> </w:t>
      </w:r>
      <w:r w:rsidRPr="008F6A55">
        <w:rPr>
          <w:rFonts w:ascii="Calibri" w:hAnsi="Calibri" w:cs="Times New Roman"/>
          <w:color w:val="000000" w:themeColor="text1"/>
          <w:kern w:val="0"/>
          <w:sz w:val="22"/>
        </w:rPr>
        <w:t>was substituted for MRA in cases in which MRA was unavailable. To validate the diagnosis, HRMRI was performed for patients with abnormal findings on conventional MRI.</w:t>
      </w:r>
    </w:p>
    <w:p w:rsidR="008F6A55" w:rsidRDefault="008F6A55" w:rsidP="008F6A55">
      <w:pPr>
        <w:wordWrap/>
        <w:snapToGrid w:val="0"/>
        <w:spacing w:line="480" w:lineRule="auto"/>
        <w:ind w:firstLine="800"/>
        <w:jc w:val="left"/>
        <w:rPr>
          <w:rFonts w:ascii="Calibri" w:hAnsi="Calibri" w:cs="Times New Roman"/>
          <w:color w:val="C00000"/>
          <w:sz w:val="22"/>
        </w:rPr>
      </w:pPr>
      <w:r w:rsidRPr="008F6A55">
        <w:rPr>
          <w:rFonts w:ascii="Calibri" w:hAnsi="Calibri" w:cs="Times New Roman"/>
          <w:kern w:val="0"/>
          <w:sz w:val="22"/>
        </w:rPr>
        <w:t xml:space="preserve">HRMRI was performed using a 3-Tesla (3T) scanner with a 20-channel head coil (MAGNETOM </w:t>
      </w:r>
      <w:proofErr w:type="spellStart"/>
      <w:r w:rsidRPr="008F6A55">
        <w:rPr>
          <w:rFonts w:ascii="Calibri" w:hAnsi="Calibri" w:cs="Times New Roman"/>
          <w:kern w:val="0"/>
          <w:sz w:val="22"/>
        </w:rPr>
        <w:t>Skyra</w:t>
      </w:r>
      <w:proofErr w:type="spellEnd"/>
      <w:r w:rsidRPr="008F6A55">
        <w:rPr>
          <w:rFonts w:ascii="Calibri" w:hAnsi="Calibri" w:cs="Times New Roman"/>
          <w:kern w:val="0"/>
          <w:sz w:val="22"/>
        </w:rPr>
        <w:t xml:space="preserve">, Siemens, Germany). Two-dimensional sequences and blood-flow suppression images were acquired using turbo spin echo (TSE) with variable-flip-angle refocusing radio frequency pulses (sampling perfection with application-optimized contrast using different angle evolutions (SPACE)). Three-dimensional TOF MRA was performed using the following parameters: slice thickness=0.5 mm, repetition time/echo time (TR/TE)=21/3.69 </w:t>
      </w:r>
      <w:proofErr w:type="spellStart"/>
      <w:r w:rsidRPr="008F6A55">
        <w:rPr>
          <w:rFonts w:ascii="Calibri" w:hAnsi="Calibri" w:cs="Times New Roman"/>
          <w:kern w:val="0"/>
          <w:sz w:val="22"/>
        </w:rPr>
        <w:t>ms</w:t>
      </w:r>
      <w:proofErr w:type="spellEnd"/>
      <w:r w:rsidRPr="008F6A55">
        <w:rPr>
          <w:rFonts w:ascii="Calibri" w:hAnsi="Calibri" w:cs="Times New Roman"/>
          <w:kern w:val="0"/>
          <w:sz w:val="22"/>
        </w:rPr>
        <w:t>, flip angle=18°, field of view (FOV</w:t>
      </w:r>
      <w:proofErr w:type="gramStart"/>
      <w:r w:rsidRPr="008F6A55">
        <w:rPr>
          <w:rFonts w:ascii="Calibri" w:hAnsi="Calibri" w:cs="Times New Roman"/>
          <w:kern w:val="0"/>
          <w:sz w:val="22"/>
        </w:rPr>
        <w:t>)=</w:t>
      </w:r>
      <w:proofErr w:type="gramEnd"/>
      <w:r w:rsidRPr="008F6A55">
        <w:rPr>
          <w:rFonts w:ascii="Calibri" w:hAnsi="Calibri" w:cs="Times New Roman"/>
          <w:kern w:val="0"/>
          <w:sz w:val="22"/>
        </w:rPr>
        <w:t xml:space="preserve">230 × 186.9 mm, and matrix size=448 × 291. Two-dimensional proton density-weighted imaging (PDWI) was performed using the following parameters: in-plane resolution=0.39 × 0.39 mm, slice thickness=2 mm, TR/TE=2,450/37 </w:t>
      </w:r>
      <w:proofErr w:type="spellStart"/>
      <w:r w:rsidRPr="008F6A55">
        <w:rPr>
          <w:rFonts w:ascii="Calibri" w:hAnsi="Calibri" w:cs="Times New Roman"/>
          <w:kern w:val="0"/>
          <w:sz w:val="22"/>
        </w:rPr>
        <w:t>ms</w:t>
      </w:r>
      <w:proofErr w:type="spellEnd"/>
      <w:r w:rsidRPr="008F6A55">
        <w:rPr>
          <w:rFonts w:ascii="Calibri" w:hAnsi="Calibri" w:cs="Times New Roman"/>
          <w:kern w:val="0"/>
          <w:sz w:val="22"/>
        </w:rPr>
        <w:t xml:space="preserve">, FOV=100 × 100 mm, and matrix size=195 × 256. The number of slices was 15, and the acquisition time was 224 seconds. Two-dimensional 6T1-weighted imaging (T1WI) was performed using the following parameters: in-plane resolution=0.39 × 0.39 mm, slice thickness=2 mm, TR/TE=670/9.1 </w:t>
      </w:r>
      <w:proofErr w:type="spellStart"/>
      <w:r w:rsidRPr="008F6A55">
        <w:rPr>
          <w:rFonts w:ascii="Calibri" w:hAnsi="Calibri" w:cs="Times New Roman"/>
          <w:kern w:val="0"/>
          <w:sz w:val="22"/>
        </w:rPr>
        <w:t>ms</w:t>
      </w:r>
      <w:proofErr w:type="spellEnd"/>
      <w:r w:rsidRPr="008F6A55">
        <w:rPr>
          <w:rFonts w:ascii="Calibri" w:hAnsi="Calibri" w:cs="Times New Roman"/>
          <w:kern w:val="0"/>
          <w:sz w:val="22"/>
        </w:rPr>
        <w:t>, FOV=100 × 100 mm, and matrix size=282 × 256. The number of slices was 15, and the acquisition time was 222 seconds. Two-dimensional contrast-enhanced T1-weighted imaging (CE-T1WI) after the administration of intravenous gadolinium (</w:t>
      </w:r>
      <w:proofErr w:type="spellStart"/>
      <w:r w:rsidRPr="008F6A55">
        <w:rPr>
          <w:rFonts w:ascii="Calibri" w:hAnsi="Calibri" w:cs="Times New Roman"/>
          <w:kern w:val="0"/>
          <w:sz w:val="22"/>
        </w:rPr>
        <w:t>gadobutrol</w:t>
      </w:r>
      <w:proofErr w:type="spellEnd"/>
      <w:r w:rsidRPr="008F6A55">
        <w:rPr>
          <w:rFonts w:ascii="Calibri" w:hAnsi="Calibri" w:cs="Times New Roman"/>
          <w:kern w:val="0"/>
          <w:sz w:val="22"/>
        </w:rPr>
        <w:t xml:space="preserve">, 0.1 </w:t>
      </w:r>
      <w:proofErr w:type="spellStart"/>
      <w:r w:rsidRPr="008F6A55">
        <w:rPr>
          <w:rFonts w:ascii="Calibri" w:hAnsi="Calibri" w:cs="Times New Roman"/>
          <w:kern w:val="0"/>
          <w:sz w:val="22"/>
        </w:rPr>
        <w:t>mmol</w:t>
      </w:r>
      <w:proofErr w:type="spellEnd"/>
      <w:r w:rsidRPr="008F6A55">
        <w:rPr>
          <w:rFonts w:ascii="Calibri" w:hAnsi="Calibri" w:cs="Times New Roman"/>
          <w:kern w:val="0"/>
          <w:sz w:val="22"/>
        </w:rPr>
        <w:t>/kg body weight) (</w:t>
      </w:r>
      <w:proofErr w:type="spellStart"/>
      <w:r w:rsidRPr="008F6A55">
        <w:rPr>
          <w:rFonts w:ascii="Calibri" w:hAnsi="Calibri" w:cs="Times New Roman"/>
          <w:kern w:val="0"/>
          <w:sz w:val="22"/>
        </w:rPr>
        <w:t>Gadovist</w:t>
      </w:r>
      <w:proofErr w:type="spellEnd"/>
      <w:r w:rsidRPr="008F6A55">
        <w:rPr>
          <w:rFonts w:ascii="Calibri" w:hAnsi="Calibri" w:cs="Times New Roman"/>
          <w:kern w:val="0"/>
          <w:sz w:val="22"/>
        </w:rPr>
        <w:t xml:space="preserve">; Bayer Schering Pharma, Berlin, Germany) with TSE sequences was performed using the following parameters: in-plane resolution=0.39 × 0.39 mm, slice thickness=2 mm, TR/TE=670/9.1 </w:t>
      </w:r>
      <w:proofErr w:type="spellStart"/>
      <w:r w:rsidRPr="008F6A55">
        <w:rPr>
          <w:rFonts w:ascii="Calibri" w:hAnsi="Calibri" w:cs="Times New Roman"/>
          <w:kern w:val="0"/>
          <w:sz w:val="22"/>
        </w:rPr>
        <w:t>ms</w:t>
      </w:r>
      <w:proofErr w:type="spellEnd"/>
      <w:r w:rsidRPr="008F6A55">
        <w:rPr>
          <w:rFonts w:ascii="Calibri" w:hAnsi="Calibri" w:cs="Times New Roman"/>
          <w:kern w:val="0"/>
          <w:sz w:val="22"/>
        </w:rPr>
        <w:t xml:space="preserve">, FOV=100 × 100 mm, and matrix size=256 × 256. The number of slices was 15, and the acquisition time was 202 seconds. The total acquisition time was approximately 30 minutes. The scanning orientation was transversal, and the 3D images were </w:t>
      </w:r>
      <w:r w:rsidRPr="008F6A55">
        <w:rPr>
          <w:rFonts w:ascii="Calibri" w:hAnsi="Calibri" w:cs="Times New Roman"/>
          <w:kern w:val="0"/>
          <w:sz w:val="22"/>
        </w:rPr>
        <w:lastRenderedPageBreak/>
        <w:t>reconstructed into coronal, axial, and sagittal images.</w:t>
      </w:r>
    </w:p>
    <w:p w:rsidR="00B26041" w:rsidRDefault="00B26041" w:rsidP="00B26041">
      <w:pPr>
        <w:wordWrap/>
        <w:snapToGrid w:val="0"/>
        <w:spacing w:line="480" w:lineRule="auto"/>
        <w:jc w:val="left"/>
        <w:rPr>
          <w:rFonts w:ascii="Calibri" w:hAnsi="Calibri" w:cs="Times New Roman"/>
          <w:color w:val="C00000"/>
          <w:sz w:val="22"/>
        </w:rPr>
      </w:pPr>
    </w:p>
    <w:p w:rsidR="00B26041" w:rsidRPr="00B335E4" w:rsidRDefault="00B26041" w:rsidP="00B26041">
      <w:pPr>
        <w:wordWrap/>
        <w:snapToGrid w:val="0"/>
        <w:spacing w:line="480" w:lineRule="auto"/>
        <w:jc w:val="left"/>
        <w:rPr>
          <w:rFonts w:ascii="Calibri" w:hAnsi="Calibri" w:cs="Times New Roman"/>
          <w:color w:val="000000" w:themeColor="text1"/>
          <w:sz w:val="22"/>
        </w:rPr>
      </w:pPr>
    </w:p>
    <w:sectPr w:rsidR="00B26041" w:rsidRPr="00B335E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41"/>
    <w:rsid w:val="001F0825"/>
    <w:rsid w:val="00615D47"/>
    <w:rsid w:val="00857550"/>
    <w:rsid w:val="008F6A55"/>
    <w:rsid w:val="00914C94"/>
    <w:rsid w:val="00B26041"/>
    <w:rsid w:val="00E03A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FB6E1-43CA-45D1-8050-F42B05DC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4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434</Words>
  <Characters>2477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Seoki_Ansan</dc:creator>
  <cp:keywords/>
  <dc:description/>
  <cp:lastModifiedBy>Seoki_Ansan</cp:lastModifiedBy>
  <cp:revision>2</cp:revision>
  <dcterms:created xsi:type="dcterms:W3CDTF">2020-04-02T10:02:00Z</dcterms:created>
  <dcterms:modified xsi:type="dcterms:W3CDTF">2020-04-03T01:30:00Z</dcterms:modified>
</cp:coreProperties>
</file>