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89" w:rsidRPr="00EB5011" w:rsidRDefault="00674789" w:rsidP="00674789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EB5011">
        <w:rPr>
          <w:rFonts w:cstheme="minorHAnsi"/>
          <w:b/>
          <w:sz w:val="20"/>
          <w:szCs w:val="20"/>
          <w:lang w:val="en-US"/>
        </w:rPr>
        <w:t>SUPPLEMENTARY TABLES</w:t>
      </w:r>
    </w:p>
    <w:p w:rsidR="00674789" w:rsidRPr="00EB5011" w:rsidRDefault="00674789" w:rsidP="0067478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674789" w:rsidRPr="00EB5011" w:rsidRDefault="00674789" w:rsidP="00674789">
      <w:pPr>
        <w:keepNext/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EB5011">
        <w:rPr>
          <w:rFonts w:cstheme="minorHAnsi"/>
          <w:b/>
          <w:sz w:val="20"/>
          <w:szCs w:val="20"/>
          <w:lang w:val="en-US"/>
        </w:rPr>
        <w:t xml:space="preserve">Supplementary Table 1. Temporal evolution of breast cancer hospital production in Portugal between 2007 and 2014, Source </w:t>
      </w:r>
      <w:proofErr w:type="spellStart"/>
      <w:r w:rsidRPr="00EB5011">
        <w:rPr>
          <w:rFonts w:cstheme="minorHAnsi"/>
          <w:b/>
          <w:sz w:val="20"/>
          <w:szCs w:val="20"/>
          <w:lang w:val="en-US"/>
        </w:rPr>
        <w:t>Grupos</w:t>
      </w:r>
      <w:proofErr w:type="spellEnd"/>
      <w:r w:rsidRPr="00EB5011">
        <w:rPr>
          <w:rFonts w:cstheme="minorHAnsi"/>
          <w:b/>
          <w:sz w:val="20"/>
          <w:szCs w:val="20"/>
          <w:lang w:val="en-US"/>
        </w:rPr>
        <w:t xml:space="preserve"> de </w:t>
      </w:r>
      <w:proofErr w:type="spellStart"/>
      <w:r w:rsidRPr="00EB5011">
        <w:rPr>
          <w:rFonts w:cstheme="minorHAnsi"/>
          <w:b/>
          <w:sz w:val="20"/>
          <w:szCs w:val="20"/>
          <w:lang w:val="en-US"/>
        </w:rPr>
        <w:t>Diagnóstico</w:t>
      </w:r>
      <w:proofErr w:type="spellEnd"/>
      <w:r w:rsidRPr="00EB5011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EB5011">
        <w:rPr>
          <w:rFonts w:cstheme="minorHAnsi"/>
          <w:b/>
          <w:sz w:val="20"/>
          <w:szCs w:val="20"/>
          <w:lang w:val="en-US"/>
        </w:rPr>
        <w:t>Homogéneos</w:t>
      </w:r>
      <w:proofErr w:type="spellEnd"/>
      <w:r w:rsidRPr="00EB5011">
        <w:rPr>
          <w:rFonts w:cstheme="minorHAnsi"/>
          <w:b/>
          <w:sz w:val="20"/>
          <w:szCs w:val="20"/>
          <w:lang w:val="en-US"/>
        </w:rPr>
        <w:t xml:space="preserve"> [GDH] </w:t>
      </w:r>
      <w:r w:rsidRPr="00EB5011">
        <w:rPr>
          <w:rFonts w:cstheme="minorHAnsi"/>
          <w:b/>
          <w:sz w:val="20"/>
          <w:szCs w:val="20"/>
          <w:lang w:val="en-US"/>
        </w:rPr>
        <w:fldChar w:fldCharType="begin" w:fldLock="1"/>
      </w:r>
      <w:r>
        <w:rPr>
          <w:rFonts w:cstheme="minorHAnsi"/>
          <w:b/>
          <w:sz w:val="20"/>
          <w:szCs w:val="20"/>
          <w:lang w:val="en-US"/>
        </w:rPr>
        <w:instrText>ADDIN CSL_CITATION {"citationItems":[{"id":"ITEM-1","itemData":{"URL":"https://www.dgs.pt/estatisticas-de-saude/estatisticas-de-saude/publicacoes/portugal-doencas-oncologicas-em-numeros-2015-pdf.aspx","author":[{"dropping-particle":"","family":"Direção-Geral da Saúde","given":"","non-dropping-particle":"","parse-names":false,"suffix":""}],"id":"ITEM-1","issued":{"date-parts":[["2016"]]},"publisher-place":"Lisboa","title":"Portugal: Doenças Oncológicas em números – 2015: Programa Nacional para as Doenças Oncológicas.","type":"webpage"},"uris":["http://www.mendeley.com/documents/?uuid=3d33c12c-e033-4125-aa86-f5247412e723"]},{"id":"ITEM-2","itemData":{"author":[{"dropping-particle":"","family":"DGS","given":"","non-dropping-particle":"","parse-names":false,"suffix":""}],"id":"ITEM-2","issued":{"date-parts":[["0"]]},"title":"Portugal: Doenças Oncológicas em números – 2013: Programa Nacional para as Doenças Oncológicas.","type":"report"},"uris":["http://www.mendeley.com/documents/?uuid=f6d06c95-d83d-47cb-887c-8310c2d0ff6e","http://www.mendeley.com/documents/?uuid=c41696a3-6929-438e-8be8-b2431a8b5e1e"]}],"mendeley":{"formattedCitation":"&lt;sup&gt;22,23&lt;/sup&gt;","plainTextFormattedCitation":"22,23","previouslyFormattedCitation":"(DGS, n.d.; Direção-Geral da Saúde, 2016)"},"properties":{"noteIndex":0},"schema":"https://github.com/citation-style-language/schema/raw/master/csl-citation.json"}</w:instrText>
      </w:r>
      <w:r w:rsidRPr="00EB5011">
        <w:rPr>
          <w:rFonts w:cstheme="minorHAnsi"/>
          <w:b/>
          <w:sz w:val="20"/>
          <w:szCs w:val="20"/>
          <w:lang w:val="en-US"/>
        </w:rPr>
        <w:fldChar w:fldCharType="separate"/>
      </w:r>
      <w:r w:rsidRPr="006E63A8">
        <w:rPr>
          <w:rFonts w:cstheme="minorHAnsi"/>
          <w:noProof/>
          <w:sz w:val="20"/>
          <w:szCs w:val="20"/>
          <w:vertAlign w:val="superscript"/>
          <w:lang w:val="en-US"/>
        </w:rPr>
        <w:t>22,23</w:t>
      </w:r>
      <w:r w:rsidRPr="00EB5011">
        <w:rPr>
          <w:rFonts w:cstheme="minorHAnsi"/>
          <w:b/>
          <w:sz w:val="20"/>
          <w:szCs w:val="20"/>
          <w:lang w:val="en-US"/>
        </w:rPr>
        <w:fldChar w:fldCharType="end"/>
      </w:r>
      <w:r w:rsidRPr="00EB5011">
        <w:rPr>
          <w:rFonts w:cstheme="minorHAnsi"/>
          <w:b/>
          <w:sz w:val="20"/>
          <w:szCs w:val="20"/>
          <w:lang w:val="en-US"/>
        </w:rPr>
        <w:t xml:space="preserve"> and Total number of hospital discharges of female breast cancer patients in Portugal per 100,000 inhabitants (adapted from Eurostat 2016</w:t>
      </w:r>
      <w:r w:rsidRPr="00EB5011">
        <w:rPr>
          <w:rFonts w:cstheme="minorHAnsi"/>
          <w:b/>
          <w:sz w:val="20"/>
          <w:szCs w:val="20"/>
          <w:lang w:val="en-US"/>
        </w:rPr>
        <w:fldChar w:fldCharType="begin" w:fldLock="1"/>
      </w:r>
      <w:r>
        <w:rPr>
          <w:rFonts w:cstheme="minorHAnsi"/>
          <w:b/>
          <w:sz w:val="20"/>
          <w:szCs w:val="20"/>
          <w:lang w:val="en-US"/>
        </w:rPr>
        <w:instrText>ADDIN CSL_CITATION {"citationItems":[{"id":"ITEM-1","itemData":{"URL":"http://appsso.eurostat.ec.europa.eu/nui/show.do?dataset=hlth_co_disch2&amp;lang=en","accessed":{"date-parts":[["2019","4","10"]]},"author":[{"dropping-particle":"","family":"Eurostat","given":"","non-dropping-particle":"","parse-names":false,"suffix":""}],"id":"ITEM-1","issued":{"date-parts":[["2018"]]},"title":"Hospital discharges by diagnosis, in-patients, per 100 000 inhabitants","type":"webpage"},"uris":["http://www.mendeley.com/documents/?uuid=15e9b938-c6a0-4fc6-8949-8eebf5a0b5fe"]}],"mendeley":{"formattedCitation":"&lt;sup&gt;46&lt;/sup&gt;","plainTextFormattedCitation":"46","previouslyFormattedCitation":"(Eurostat, 2018a)"},"properties":{"noteIndex":0},"schema":"https://github.com/citation-style-language/schema/raw/master/csl-citation.json"}</w:instrText>
      </w:r>
      <w:r w:rsidRPr="00EB5011">
        <w:rPr>
          <w:rFonts w:cstheme="minorHAnsi"/>
          <w:b/>
          <w:sz w:val="20"/>
          <w:szCs w:val="20"/>
          <w:lang w:val="en-US"/>
        </w:rPr>
        <w:fldChar w:fldCharType="separate"/>
      </w:r>
      <w:r w:rsidRPr="006E63A8">
        <w:rPr>
          <w:rFonts w:cstheme="minorHAnsi"/>
          <w:noProof/>
          <w:sz w:val="20"/>
          <w:szCs w:val="20"/>
          <w:vertAlign w:val="superscript"/>
          <w:lang w:val="en-US"/>
        </w:rPr>
        <w:t>46</w:t>
      </w:r>
      <w:r w:rsidRPr="00EB5011">
        <w:rPr>
          <w:rFonts w:cstheme="minorHAnsi"/>
          <w:b/>
          <w:sz w:val="20"/>
          <w:szCs w:val="20"/>
          <w:lang w:val="en-US"/>
        </w:rPr>
        <w:fldChar w:fldCharType="end"/>
      </w:r>
      <w:r w:rsidRPr="00EB5011">
        <w:rPr>
          <w:rFonts w:cstheme="minorHAnsi"/>
          <w:b/>
          <w:sz w:val="20"/>
          <w:szCs w:val="20"/>
          <w:lang w:val="en-US"/>
        </w:rPr>
        <w:t xml:space="preserve"> c) and Average length of hospitalization (days)</w:t>
      </w:r>
      <w:r>
        <w:rPr>
          <w:rFonts w:cstheme="minorHAnsi"/>
          <w:b/>
          <w:sz w:val="20"/>
          <w:szCs w:val="20"/>
          <w:lang w:val="en-US"/>
        </w:rPr>
        <w:t xml:space="preserve"> in Portugal between 2002 and 2014</w:t>
      </w:r>
      <w:r w:rsidRPr="00EB5011">
        <w:rPr>
          <w:rFonts w:cstheme="minorHAnsi"/>
          <w:b/>
          <w:sz w:val="20"/>
          <w:szCs w:val="20"/>
          <w:lang w:val="en-US"/>
        </w:rPr>
        <w:t>, Source Eurostat</w:t>
      </w:r>
      <w:r w:rsidRPr="00EB5011">
        <w:rPr>
          <w:rFonts w:cstheme="minorHAnsi"/>
          <w:b/>
          <w:sz w:val="20"/>
          <w:szCs w:val="20"/>
          <w:lang w:val="en-US"/>
        </w:rPr>
        <w:fldChar w:fldCharType="begin" w:fldLock="1"/>
      </w:r>
      <w:r>
        <w:rPr>
          <w:rFonts w:cstheme="minorHAnsi"/>
          <w:b/>
          <w:sz w:val="20"/>
          <w:szCs w:val="20"/>
          <w:lang w:val="en-US"/>
        </w:rPr>
        <w:instrText>ADDIN CSL_CITATION {"citationItems":[{"id":"ITEM-1","itemData":{"URL":"http://appsso.eurostat.ec.europa.eu/nui/show.do?dataset=hlth_co_inpstf&amp;lang=en","accessed":{"date-parts":[["2019","4","10"]]},"author":[{"dropping-particle":"","family":"Eurostat","given":"","non-dropping-particle":"","parse-names":false,"suffix":""}],"id":"ITEM-1","issued":{"date-parts":[["2018"]]},"title":"In-patient average length of stay (days) by NUTS 2 regions - females","type":"webpage"},"uris":["http://www.mendeley.com/documents/?uuid=027546fc-d2f8-4eb7-8cc0-00762c99a2ac"]}],"mendeley":{"formattedCitation":"&lt;sup&gt;45&lt;/sup&gt;","plainTextFormattedCitation":"45","previouslyFormattedCitation":"(Eurostat, 2018b)"},"properties":{"noteIndex":0},"schema":"https://github.com/citation-style-language/schema/raw/master/csl-citation.json"}</w:instrText>
      </w:r>
      <w:r w:rsidRPr="00EB5011">
        <w:rPr>
          <w:rFonts w:cstheme="minorHAnsi"/>
          <w:b/>
          <w:sz w:val="20"/>
          <w:szCs w:val="20"/>
          <w:lang w:val="en-US"/>
        </w:rPr>
        <w:fldChar w:fldCharType="separate"/>
      </w:r>
      <w:r w:rsidRPr="006E63A8">
        <w:rPr>
          <w:rFonts w:cstheme="minorHAnsi"/>
          <w:noProof/>
          <w:sz w:val="20"/>
          <w:szCs w:val="20"/>
          <w:vertAlign w:val="superscript"/>
          <w:lang w:val="en-US"/>
        </w:rPr>
        <w:t>45</w:t>
      </w:r>
      <w:r w:rsidRPr="00EB5011">
        <w:rPr>
          <w:rFonts w:cstheme="minorHAnsi"/>
          <w:b/>
          <w:sz w:val="20"/>
          <w:szCs w:val="20"/>
          <w:lang w:val="en-US"/>
        </w:rPr>
        <w:fldChar w:fldCharType="end"/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63"/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831"/>
        <w:gridCol w:w="508"/>
      </w:tblGrid>
      <w:tr w:rsidR="00674789" w:rsidRPr="006E63A8" w:rsidTr="00A85D9F">
        <w:tc>
          <w:tcPr>
            <w:tcW w:w="655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2002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2003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2004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2005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2006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2007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2008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2009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2010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2011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2012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2013</w:t>
            </w:r>
          </w:p>
        </w:tc>
        <w:tc>
          <w:tcPr>
            <w:tcW w:w="51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2014</w:t>
            </w:r>
          </w:p>
        </w:tc>
        <w:tc>
          <w:tcPr>
            <w:tcW w:w="13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2015</w:t>
            </w:r>
          </w:p>
        </w:tc>
      </w:tr>
      <w:tr w:rsidR="00674789" w:rsidRPr="006E63A8" w:rsidTr="00A85D9F">
        <w:tc>
          <w:tcPr>
            <w:tcW w:w="655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Hospitalizations per 10</w:t>
            </w:r>
            <w:r w:rsidRPr="00EB5011">
              <w:rPr>
                <w:rFonts w:cstheme="minorHAnsi"/>
                <w:b/>
                <w:sz w:val="14"/>
                <w:szCs w:val="20"/>
                <w:vertAlign w:val="superscript"/>
                <w:lang w:val="en-US"/>
              </w:rPr>
              <w:t>5</w:t>
            </w: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 xml:space="preserve"> inhabita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t>nts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begin" w:fldLock="1"/>
            </w:r>
            <w:r>
              <w:rPr>
                <w:rFonts w:cstheme="minorHAnsi"/>
                <w:b/>
                <w:sz w:val="14"/>
                <w:szCs w:val="14"/>
                <w:lang w:val="en-US"/>
              </w:rPr>
              <w:instrText>ADDIN CSL_CITATION {"citationItems":[{"id":"ITEM-1","itemData":{"URL":"http://appsso.eurostat.ec.europa.eu/nui/show.do?dataset=hlth_co_disch2&amp;lang=en","accessed":{"date-parts":[["2019","4","10"]]},"author":[{"dropping-particle":"","family":"Eurostat","given":"","non-dropping-particle":"","parse-names":false,"suffix":""}],"id":"ITEM-1","issued":{"date-parts":[["2018"]]},"title":"Hospital discharges by diagnosis, in-patients, per 100 000 inhabitants","type":"webpage"},"uris":["http://www.mendeley.com/documents/?uuid=15e9b938-c6a0-4fc6-8949-8eebf5a0b5fe"]}],"mendeley":{"formattedCitation":"&lt;sup&gt;46&lt;/sup&gt;","plainTextFormattedCitation":"46","previouslyFormattedCitation":"(Eurostat, 2018a)"},"properties":{"noteIndex":0},"schema":"https://github.com/citation-style-language/schema/raw/master/csl-citation.json"}</w:instrTex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separate"/>
            </w:r>
            <w:r w:rsidRPr="006E63A8">
              <w:rPr>
                <w:rFonts w:cstheme="minorHAnsi"/>
                <w:noProof/>
                <w:sz w:val="14"/>
                <w:szCs w:val="14"/>
                <w:vertAlign w:val="superscript"/>
                <w:lang w:val="en-US"/>
              </w:rPr>
              <w:t>46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111.1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109.4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111.8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111.7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115.5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117.2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122.9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124.8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126.8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136.0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134.8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140.5</w:t>
            </w:r>
          </w:p>
        </w:tc>
        <w:tc>
          <w:tcPr>
            <w:tcW w:w="51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132.5</w:t>
            </w:r>
          </w:p>
        </w:tc>
        <w:tc>
          <w:tcPr>
            <w:tcW w:w="13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>
              <w:rPr>
                <w:rFonts w:cstheme="minorHAnsi"/>
                <w:sz w:val="14"/>
                <w:szCs w:val="20"/>
                <w:lang w:val="en-US"/>
              </w:rPr>
              <w:t>134.4</w:t>
            </w:r>
          </w:p>
        </w:tc>
      </w:tr>
      <w:tr w:rsidR="00674789" w:rsidRPr="00BA7CA7" w:rsidTr="00A85D9F">
        <w:tc>
          <w:tcPr>
            <w:tcW w:w="655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Hospital production (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t xml:space="preserve">including ambulatory) 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begin" w:fldLock="1"/>
            </w:r>
            <w:r>
              <w:rPr>
                <w:rFonts w:cstheme="minorHAnsi"/>
                <w:b/>
                <w:sz w:val="14"/>
                <w:szCs w:val="14"/>
                <w:lang w:val="en-US"/>
              </w:rPr>
              <w:instrText>ADDIN CSL_CITATION {"citationItems":[{"id":"ITEM-1","itemData":{"URL":"https://www.dgs.pt/estatisticas-de-saude/estatisticas-de-saude/publicacoes/portugal-doencas-oncologicas-em-numeros-2015-pdf.aspx","author":[{"dropping-particle":"","family":"Direção-Geral da Saúde","given":"","non-dropping-particle":"","parse-names":false,"suffix":""}],"id":"ITEM-1","issued":{"date-parts":[["2016"]]},"publisher-place":"Lisboa","title":"Portugal: Doenças Oncológicas em números – 2015: Programa Nacional para as Doenças Oncológicas.","type":"webpage"},"uris":["http://www.mendeley.com/documents/?uuid=3d33c12c-e033-4125-aa86-f5247412e723"]},{"id":"ITEM-2","itemData":{"author":[{"dropping-particle":"","family":"DGS","given":"","non-dropping-particle":"","parse-names":false,"suffix":""}],"id":"ITEM-2","issued":{"date-parts":[["0"]]},"title":"Portugal: Doenças Oncológicas em números – 2013: Programa Nacional para as Doenças Oncológicas.","type":"report"},"uris":["http://www.mendeley.com/documents/?uuid=f6d06c95-d83d-47cb-887c-8310c2d0ff6e","http://www.mendeley.com/documents/?uuid=c41696a3-6929-438e-8be8-b2431a8b5e1e"]}],"mendeley":{"formattedCitation":"&lt;sup&gt;22,23&lt;/sup&gt;","plainTextFormattedCitation":"22,23","previouslyFormattedCitation":"(DGS, n.d.; Direção-Geral da Saúde, 2016)"},"properties":{"noteIndex":0},"schema":"https://github.com/citation-style-language/schema/raw/master/csl-citation.json"}</w:instrTex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separate"/>
            </w:r>
            <w:r w:rsidRPr="006E63A8">
              <w:rPr>
                <w:rFonts w:cstheme="minorHAnsi"/>
                <w:noProof/>
                <w:sz w:val="14"/>
                <w:szCs w:val="14"/>
                <w:vertAlign w:val="superscript"/>
                <w:lang w:val="en-US"/>
              </w:rPr>
              <w:t>22,23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6229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6721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6547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7329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7843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7784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8114</w:t>
            </w:r>
          </w:p>
        </w:tc>
        <w:tc>
          <w:tcPr>
            <w:tcW w:w="51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7633 (</w:t>
            </w:r>
            <w:proofErr w:type="spellStart"/>
            <w:r w:rsidRPr="00EB5011">
              <w:rPr>
                <w:rFonts w:cstheme="minorHAnsi"/>
                <w:sz w:val="14"/>
                <w:szCs w:val="20"/>
                <w:lang w:val="en-US"/>
              </w:rPr>
              <w:t>preliminar</w:t>
            </w:r>
            <w:proofErr w:type="spellEnd"/>
            <w:r w:rsidRPr="00EB5011">
              <w:rPr>
                <w:rFonts w:cstheme="minorHAnsi"/>
                <w:sz w:val="14"/>
                <w:szCs w:val="20"/>
                <w:lang w:val="en-US"/>
              </w:rPr>
              <w:t>)</w:t>
            </w:r>
          </w:p>
        </w:tc>
        <w:tc>
          <w:tcPr>
            <w:tcW w:w="13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</w:tr>
      <w:tr w:rsidR="00674789" w:rsidRPr="00BA7CA7" w:rsidTr="00A85D9F">
        <w:tc>
          <w:tcPr>
            <w:tcW w:w="655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Average length of hospi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t xml:space="preserve">talization (days) 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begin" w:fldLock="1"/>
            </w:r>
            <w:r>
              <w:rPr>
                <w:rFonts w:cstheme="minorHAnsi"/>
                <w:b/>
                <w:sz w:val="14"/>
                <w:szCs w:val="14"/>
                <w:lang w:val="en-US"/>
              </w:rPr>
              <w:instrText>ADDIN CSL_CITATION {"citationItems":[{"id":"ITEM-1","itemData":{"URL":"http://appsso.eurostat.ec.europa.eu/nui/show.do?dataset=hlth_co_inpstf&amp;lang=en","accessed":{"date-parts":[["2019","4","10"]]},"author":[{"dropping-particle":"","family":"Eurostat","given":"","non-dropping-particle":"","parse-names":false,"suffix":""}],"id":"ITEM-1","issued":{"date-parts":[["2018"]]},"title":"In-patient average length of stay (days) by NUTS 2 regions - females","type":"webpage"},"uris":["http://www.mendeley.com/documents/?uuid=027546fc-d2f8-4eb7-8cc0-00762c99a2ac"]}],"mendeley":{"formattedCitation":"&lt;sup&gt;45&lt;/sup&gt;","plainTextFormattedCitation":"45","previouslyFormattedCitation":"(Eurostat, 2018b)"},"properties":{"noteIndex":0},"schema":"https://github.com/citation-style-language/schema/raw/master/csl-citation.json"}</w:instrTex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separate"/>
            </w:r>
            <w:r w:rsidRPr="006E63A8">
              <w:rPr>
                <w:rFonts w:cstheme="minorHAnsi"/>
                <w:noProof/>
                <w:sz w:val="14"/>
                <w:szCs w:val="14"/>
                <w:vertAlign w:val="superscript"/>
                <w:lang w:val="en-US"/>
              </w:rPr>
              <w:t>45</w:t>
            </w:r>
            <w:r w:rsidRPr="006D32C3">
              <w:rPr>
                <w:rFonts w:cstheme="minorHAnsi"/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6,8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6,7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6,2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5,7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5,7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4,9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308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51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NR</w:t>
            </w:r>
          </w:p>
        </w:tc>
        <w:tc>
          <w:tcPr>
            <w:tcW w:w="13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>
              <w:rPr>
                <w:rFonts w:cstheme="minorHAnsi"/>
                <w:sz w:val="14"/>
                <w:szCs w:val="20"/>
                <w:lang w:val="en-US"/>
              </w:rPr>
              <w:t>5.1</w:t>
            </w:r>
          </w:p>
        </w:tc>
      </w:tr>
    </w:tbl>
    <w:p w:rsidR="00674789" w:rsidRPr="00EB5011" w:rsidRDefault="00674789" w:rsidP="0067478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674789" w:rsidRPr="00EB5011" w:rsidRDefault="00674789" w:rsidP="00674789">
      <w:pPr>
        <w:keepNext/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EB5011">
        <w:rPr>
          <w:rFonts w:cstheme="minorHAnsi"/>
          <w:b/>
          <w:sz w:val="20"/>
          <w:szCs w:val="20"/>
          <w:lang w:val="en-US"/>
        </w:rPr>
        <w:t>Supplementary Table 2. Number of hospitalizations, deaths and lethality rate in female breast cancer patients (according to ICD 9:174) by NUTS II (1999) on 2000, 2004, 2008 and the 2000-2008 variation (from Machado et al</w:t>
      </w:r>
      <w:r w:rsidRPr="00EB5011">
        <w:rPr>
          <w:rFonts w:cstheme="minorHAnsi"/>
          <w:b/>
          <w:sz w:val="20"/>
          <w:szCs w:val="20"/>
          <w:lang w:val="en-US"/>
        </w:rPr>
        <w:fldChar w:fldCharType="begin" w:fldLock="1"/>
      </w:r>
      <w:r>
        <w:rPr>
          <w:rFonts w:cstheme="minorHAnsi"/>
          <w:b/>
          <w:sz w:val="20"/>
          <w:szCs w:val="20"/>
          <w:lang w:val="en-US"/>
        </w:rPr>
        <w:instrText>ADDIN CSL_CITATION {"citationItems":[{"id":"ITEM-1","itemData":{"ISBN":"9789724045702","author":[{"dropping-particle":"","family":"Machado","given":"Maria do Céu","non-dropping-particle":"","parse-names":false,"suffix":""},{"dropping-particle":"","family":"Couceiro","given":"Luísa","non-dropping-particle":"","parse-names":false,"suffix":""},{"dropping-particle":"","family":"Alves","given":"Isabel","non-dropping-particle":"","parse-names":false,"suffix":""},{"dropping-particle":"","family":"Almendra","given":"Ricardo","non-dropping-particle":"","parse-names":false,"suffix":""},{"dropping-particle":"","family":"Cortes","given":"Maria","non-dropping-particle":"","parse-names":false,"suffix":""}],"container-title":"A Morte e o Morrer em Portugal","editor":[{"dropping-particle":"","family":"Edições Almedina","given":"","non-dropping-particle":"","parse-names":false,"suffix":""}],"id":"ITEM-1","issued":{"date-parts":[["2011"]]},"title":"Capítulo III - A morte hospitalar","type":"chapter"},"uris":["http://www.mendeley.com/documents/?uuid=847b20ae-2cc8-4307-b273-846bc74e62f4","http://www.mendeley.com/documents/?uuid=af2e1e34-13ba-4e9a-9986-98dd1c4a187b"]}],"mendeley":{"formattedCitation":"&lt;sup&gt;24&lt;/sup&gt;","plainTextFormattedCitation":"24","previouslyFormattedCitation":"(Machado et al., 2011)"},"properties":{"noteIndex":0},"schema":"https://github.com/citation-style-language/schema/raw/master/csl-citation.json"}</w:instrText>
      </w:r>
      <w:r w:rsidRPr="00EB5011">
        <w:rPr>
          <w:rFonts w:cstheme="minorHAnsi"/>
          <w:b/>
          <w:sz w:val="20"/>
          <w:szCs w:val="20"/>
          <w:lang w:val="en-US"/>
        </w:rPr>
        <w:fldChar w:fldCharType="separate"/>
      </w:r>
      <w:r w:rsidRPr="006E63A8">
        <w:rPr>
          <w:rFonts w:cstheme="minorHAnsi"/>
          <w:noProof/>
          <w:sz w:val="20"/>
          <w:szCs w:val="20"/>
          <w:vertAlign w:val="superscript"/>
          <w:lang w:val="en-US"/>
        </w:rPr>
        <w:t>24</w:t>
      </w:r>
      <w:r w:rsidRPr="00EB5011">
        <w:rPr>
          <w:rFonts w:cstheme="minorHAnsi"/>
          <w:b/>
          <w:sz w:val="20"/>
          <w:szCs w:val="20"/>
          <w:lang w:val="en-US"/>
        </w:rPr>
        <w:fldChar w:fldCharType="end"/>
      </w:r>
      <w:r w:rsidRPr="00EB5011">
        <w:rPr>
          <w:rFonts w:cstheme="minorHAnsi"/>
          <w:b/>
          <w:sz w:val="20"/>
          <w:szCs w:val="20"/>
          <w:lang w:val="en-US"/>
        </w:rPr>
        <w:t>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58"/>
        <w:gridCol w:w="815"/>
        <w:gridCol w:w="817"/>
        <w:gridCol w:w="817"/>
        <w:gridCol w:w="814"/>
        <w:gridCol w:w="814"/>
        <w:gridCol w:w="814"/>
        <w:gridCol w:w="814"/>
        <w:gridCol w:w="814"/>
        <w:gridCol w:w="817"/>
      </w:tblGrid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</w:p>
        </w:tc>
        <w:tc>
          <w:tcPr>
            <w:tcW w:w="1442" w:type="pct"/>
            <w:gridSpan w:val="3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Number of Hospitalizations</w:t>
            </w:r>
          </w:p>
        </w:tc>
        <w:tc>
          <w:tcPr>
            <w:tcW w:w="1437" w:type="pct"/>
            <w:gridSpan w:val="3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 xml:space="preserve">Number of Deaths </w:t>
            </w:r>
          </w:p>
        </w:tc>
        <w:tc>
          <w:tcPr>
            <w:tcW w:w="1439" w:type="pct"/>
            <w:gridSpan w:val="3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Lethality (%)</w:t>
            </w:r>
          </w:p>
        </w:tc>
      </w:tr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</w:p>
        </w:tc>
        <w:tc>
          <w:tcPr>
            <w:tcW w:w="48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2000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2004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2008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2000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2004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2008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2000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2004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2008</w:t>
            </w:r>
          </w:p>
        </w:tc>
      </w:tr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Norte</w:t>
            </w:r>
          </w:p>
        </w:tc>
        <w:tc>
          <w:tcPr>
            <w:tcW w:w="48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1140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1364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2172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74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74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6.5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4.9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3.4</w:t>
            </w:r>
          </w:p>
        </w:tc>
      </w:tr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Centro</w:t>
            </w:r>
          </w:p>
        </w:tc>
        <w:tc>
          <w:tcPr>
            <w:tcW w:w="48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1047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1294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1149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69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100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70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6.6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7.7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6.1</w:t>
            </w:r>
          </w:p>
        </w:tc>
      </w:tr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LVT</w:t>
            </w:r>
          </w:p>
        </w:tc>
        <w:tc>
          <w:tcPr>
            <w:tcW w:w="48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2105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2248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2677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225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177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165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10.7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7.9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6,2</w:t>
            </w:r>
          </w:p>
        </w:tc>
      </w:tr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proofErr w:type="spellStart"/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Alentejo</w:t>
            </w:r>
            <w:proofErr w:type="spellEnd"/>
          </w:p>
        </w:tc>
        <w:tc>
          <w:tcPr>
            <w:tcW w:w="48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315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363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376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40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23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28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12.7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6.3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7.4</w:t>
            </w:r>
          </w:p>
        </w:tc>
      </w:tr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Algarve</w:t>
            </w:r>
          </w:p>
        </w:tc>
        <w:tc>
          <w:tcPr>
            <w:tcW w:w="48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192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241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314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11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16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8.9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4.6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5.1</w:t>
            </w:r>
          </w:p>
        </w:tc>
      </w:tr>
      <w:tr w:rsidR="00674789" w:rsidRPr="00EB5011" w:rsidTr="00A85D9F">
        <w:tc>
          <w:tcPr>
            <w:tcW w:w="682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b/>
                <w:sz w:val="14"/>
                <w:szCs w:val="20"/>
                <w:lang w:val="en-US"/>
              </w:rPr>
              <w:t>Portugal</w:t>
            </w:r>
          </w:p>
        </w:tc>
        <w:tc>
          <w:tcPr>
            <w:tcW w:w="480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5353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6426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7112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464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427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373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8.7</w:t>
            </w:r>
          </w:p>
        </w:tc>
        <w:tc>
          <w:tcPr>
            <w:tcW w:w="479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6,6</w:t>
            </w:r>
          </w:p>
        </w:tc>
        <w:tc>
          <w:tcPr>
            <w:tcW w:w="481" w:type="pct"/>
          </w:tcPr>
          <w:p w:rsidR="00674789" w:rsidRPr="00EB5011" w:rsidRDefault="00674789" w:rsidP="00A85D9F">
            <w:pPr>
              <w:jc w:val="both"/>
              <w:rPr>
                <w:rFonts w:cstheme="minorHAnsi"/>
                <w:sz w:val="14"/>
                <w:szCs w:val="20"/>
                <w:lang w:val="en-US"/>
              </w:rPr>
            </w:pPr>
            <w:r w:rsidRPr="00EB5011">
              <w:rPr>
                <w:rFonts w:cstheme="minorHAnsi"/>
                <w:sz w:val="14"/>
                <w:szCs w:val="20"/>
                <w:lang w:val="en-US"/>
              </w:rPr>
              <w:t>5.2</w:t>
            </w:r>
          </w:p>
        </w:tc>
      </w:tr>
    </w:tbl>
    <w:p w:rsidR="00674789" w:rsidRPr="00EB5011" w:rsidRDefault="00674789" w:rsidP="0067478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674789" w:rsidRPr="00EB5011" w:rsidRDefault="00674789" w:rsidP="00674789">
      <w:pPr>
        <w:keepNext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EB5011">
        <w:rPr>
          <w:rFonts w:cstheme="minorHAnsi"/>
          <w:b/>
          <w:sz w:val="20"/>
          <w:szCs w:val="20"/>
          <w:lang w:val="en-US"/>
        </w:rPr>
        <w:t xml:space="preserve">Supplementary Table </w:t>
      </w:r>
      <w:r>
        <w:rPr>
          <w:rFonts w:cstheme="minorHAnsi"/>
          <w:b/>
          <w:sz w:val="20"/>
          <w:szCs w:val="20"/>
          <w:lang w:val="en-US"/>
        </w:rPr>
        <w:t>3.</w:t>
      </w:r>
      <w:r w:rsidRPr="00EB5011">
        <w:rPr>
          <w:rFonts w:cstheme="minorHAnsi"/>
          <w:b/>
          <w:sz w:val="20"/>
          <w:szCs w:val="20"/>
          <w:lang w:val="en-US"/>
        </w:rPr>
        <w:t xml:space="preserve"> Temporal evolution of breast cancer (BC) hospital admission rate (HAR) in mainland Portugal between 2002 and 2016, for all, primary and secondary BC admission code, per 10</w:t>
      </w:r>
      <w:r w:rsidRPr="00EB5011">
        <w:rPr>
          <w:rFonts w:cstheme="minorHAnsi"/>
          <w:b/>
          <w:sz w:val="20"/>
          <w:szCs w:val="20"/>
          <w:vertAlign w:val="superscript"/>
          <w:lang w:val="en-US"/>
        </w:rPr>
        <w:t>5</w:t>
      </w:r>
      <w:r w:rsidRPr="00EB5011">
        <w:rPr>
          <w:rFonts w:cstheme="minorHAnsi"/>
          <w:b/>
          <w:sz w:val="20"/>
          <w:szCs w:val="20"/>
          <w:lang w:val="en-US"/>
        </w:rPr>
        <w:t xml:space="preserve"> inhabitants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62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674789" w:rsidRPr="00EB5011" w:rsidTr="00A85D9F">
        <w:trPr>
          <w:trHeight w:val="255"/>
        </w:trPr>
        <w:tc>
          <w:tcPr>
            <w:tcW w:w="274" w:type="pct"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</w:p>
        </w:tc>
        <w:tc>
          <w:tcPr>
            <w:tcW w:w="295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2002</w:t>
            </w:r>
          </w:p>
        </w:tc>
        <w:tc>
          <w:tcPr>
            <w:tcW w:w="295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2003</w:t>
            </w:r>
          </w:p>
        </w:tc>
        <w:tc>
          <w:tcPr>
            <w:tcW w:w="295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2004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2005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2006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2007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2008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2009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2010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2011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2012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2013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2014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2015</w:t>
            </w:r>
          </w:p>
        </w:tc>
        <w:tc>
          <w:tcPr>
            <w:tcW w:w="296" w:type="pct"/>
            <w:noWrap/>
            <w:hideMark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2016</w:t>
            </w:r>
          </w:p>
        </w:tc>
        <w:tc>
          <w:tcPr>
            <w:tcW w:w="296" w:type="pct"/>
          </w:tcPr>
          <w:p w:rsidR="00674789" w:rsidRPr="00EB5011" w:rsidRDefault="00674789" w:rsidP="00A85D9F">
            <w:pPr>
              <w:jc w:val="center"/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</w:pPr>
            <w:r w:rsidRPr="00EB5011">
              <w:rPr>
                <w:rFonts w:eastAsia="Times New Roman" w:cstheme="minorHAnsi"/>
                <w:b/>
                <w:sz w:val="12"/>
                <w:szCs w:val="20"/>
                <w:lang w:val="en-US" w:eastAsia="pt-PT"/>
              </w:rPr>
              <w:t>Total</w:t>
            </w:r>
          </w:p>
        </w:tc>
      </w:tr>
      <w:tr w:rsidR="00674789" w:rsidRPr="00652875" w:rsidTr="00A85D9F">
        <w:trPr>
          <w:trHeight w:val="255"/>
        </w:trPr>
        <w:tc>
          <w:tcPr>
            <w:tcW w:w="274" w:type="pct"/>
          </w:tcPr>
          <w:p w:rsidR="00674789" w:rsidRPr="00652875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652875">
              <w:rPr>
                <w:rFonts w:eastAsia="Times New Roman" w:cstheme="minorHAnsi"/>
                <w:sz w:val="12"/>
                <w:szCs w:val="12"/>
                <w:lang w:val="en-US" w:eastAsia="pt-PT"/>
              </w:rPr>
              <w:t>All admission codes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125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73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126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03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125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76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119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87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63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124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72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148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47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159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66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163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13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176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50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177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89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187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80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181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83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186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97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173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10</w:t>
            </w:r>
          </w:p>
        </w:tc>
        <w:tc>
          <w:tcPr>
            <w:tcW w:w="296" w:type="pct"/>
            <w:vAlign w:val="center"/>
          </w:tcPr>
          <w:p w:rsidR="00674789" w:rsidRPr="003047A8" w:rsidRDefault="00674789" w:rsidP="00A85D9F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047A8">
              <w:rPr>
                <w:sz w:val="12"/>
                <w:szCs w:val="12"/>
              </w:rPr>
              <w:t>153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34</w:t>
            </w:r>
          </w:p>
        </w:tc>
      </w:tr>
      <w:tr w:rsidR="00674789" w:rsidRPr="00652875" w:rsidTr="00A85D9F">
        <w:trPr>
          <w:trHeight w:val="255"/>
        </w:trPr>
        <w:tc>
          <w:tcPr>
            <w:tcW w:w="274" w:type="pct"/>
          </w:tcPr>
          <w:p w:rsidR="00674789" w:rsidRPr="00652875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652875">
              <w:rPr>
                <w:rFonts w:eastAsia="Times New Roman" w:cstheme="minorHAnsi"/>
                <w:sz w:val="12"/>
                <w:szCs w:val="12"/>
                <w:lang w:val="en-US" w:eastAsia="pt-PT"/>
              </w:rPr>
              <w:t>Primary admission code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98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67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99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56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99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07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96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29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98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53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97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98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117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51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125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93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124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65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137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72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138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31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143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97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136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68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138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75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126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34</w:t>
            </w:r>
          </w:p>
        </w:tc>
        <w:tc>
          <w:tcPr>
            <w:tcW w:w="296" w:type="pct"/>
            <w:vAlign w:val="center"/>
          </w:tcPr>
          <w:p w:rsidR="00674789" w:rsidRPr="003047A8" w:rsidRDefault="00674789" w:rsidP="00A85D9F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047A8">
              <w:rPr>
                <w:sz w:val="12"/>
                <w:szCs w:val="12"/>
              </w:rPr>
              <w:t>118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72</w:t>
            </w:r>
          </w:p>
        </w:tc>
      </w:tr>
      <w:tr w:rsidR="00674789" w:rsidRPr="00652875" w:rsidTr="00A85D9F">
        <w:trPr>
          <w:trHeight w:val="255"/>
        </w:trPr>
        <w:tc>
          <w:tcPr>
            <w:tcW w:w="274" w:type="pct"/>
          </w:tcPr>
          <w:p w:rsidR="00674789" w:rsidRPr="00652875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652875">
              <w:rPr>
                <w:rFonts w:eastAsia="Times New Roman" w:cstheme="minorHAnsi"/>
                <w:sz w:val="12"/>
                <w:szCs w:val="12"/>
                <w:lang w:val="en-US" w:eastAsia="pt-PT"/>
              </w:rPr>
              <w:t>Secondary admission code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45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41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43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39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38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40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41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37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04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39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39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40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44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46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49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48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96" w:type="pct"/>
            <w:vAlign w:val="center"/>
          </w:tcPr>
          <w:p w:rsidR="00674789" w:rsidRPr="003047A8" w:rsidRDefault="00674789" w:rsidP="00A85D9F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42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  <w:r w:rsidRPr="003047A8">
              <w:rPr>
                <w:rFonts w:ascii="Calibri" w:hAnsi="Calibri" w:cs="Calibri"/>
                <w:color w:val="000000"/>
                <w:sz w:val="12"/>
                <w:szCs w:val="12"/>
              </w:rPr>
              <w:t>36</w:t>
            </w:r>
          </w:p>
        </w:tc>
      </w:tr>
      <w:tr w:rsidR="00674789" w:rsidRPr="00652875" w:rsidTr="00A85D9F">
        <w:trPr>
          <w:trHeight w:val="255"/>
        </w:trPr>
        <w:tc>
          <w:tcPr>
            <w:tcW w:w="274" w:type="pct"/>
          </w:tcPr>
          <w:p w:rsidR="00674789" w:rsidRPr="00652875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652875">
              <w:rPr>
                <w:rFonts w:eastAsia="Times New Roman" w:cstheme="minorHAnsi"/>
                <w:sz w:val="12"/>
                <w:szCs w:val="12"/>
                <w:lang w:val="en-US" w:eastAsia="pt-PT"/>
              </w:rPr>
              <w:t>All Admissions/hour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74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74</w:t>
            </w:r>
          </w:p>
        </w:tc>
        <w:tc>
          <w:tcPr>
            <w:tcW w:w="295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74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71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72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74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89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95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98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06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06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12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eastAsia="Times New Roman" w:cstheme="minorHAnsi"/>
                <w:sz w:val="12"/>
                <w:szCs w:val="12"/>
                <w:lang w:val="en-US" w:eastAsia="pt-PT"/>
              </w:rPr>
            </w:pPr>
            <w:r w:rsidRPr="003047A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08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047A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11</w:t>
            </w:r>
          </w:p>
        </w:tc>
        <w:tc>
          <w:tcPr>
            <w:tcW w:w="296" w:type="pct"/>
            <w:noWrap/>
            <w:vAlign w:val="center"/>
          </w:tcPr>
          <w:p w:rsidR="00674789" w:rsidRPr="003047A8" w:rsidRDefault="00674789" w:rsidP="00A85D9F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047A8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02</w:t>
            </w:r>
          </w:p>
        </w:tc>
        <w:tc>
          <w:tcPr>
            <w:tcW w:w="296" w:type="pct"/>
            <w:vAlign w:val="center"/>
          </w:tcPr>
          <w:p w:rsidR="00674789" w:rsidRPr="003047A8" w:rsidRDefault="00674789" w:rsidP="00A85D9F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 w:rsidRPr="003047A8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.</w:t>
            </w:r>
            <w:r w:rsidRPr="003047A8">
              <w:rPr>
                <w:sz w:val="12"/>
                <w:szCs w:val="12"/>
              </w:rPr>
              <w:t>91</w:t>
            </w:r>
          </w:p>
        </w:tc>
      </w:tr>
    </w:tbl>
    <w:p w:rsidR="00674789" w:rsidRDefault="00674789" w:rsidP="00674789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674789" w:rsidRDefault="00674789">
      <w:bookmarkStart w:id="0" w:name="_GoBack"/>
      <w:bookmarkEnd w:id="0"/>
    </w:p>
    <w:sectPr w:rsidR="00674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9"/>
    <w:rsid w:val="006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4778-BF83-44BF-BF5A-C2AA6BC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Gomes</dc:creator>
  <cp:keywords/>
  <dc:description/>
  <cp:lastModifiedBy>Inês Gomes</cp:lastModifiedBy>
  <cp:revision>1</cp:revision>
  <dcterms:created xsi:type="dcterms:W3CDTF">2019-07-02T22:22:00Z</dcterms:created>
  <dcterms:modified xsi:type="dcterms:W3CDTF">2019-07-02T22:22:00Z</dcterms:modified>
</cp:coreProperties>
</file>