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70" w:rsidRPr="00BC4578" w:rsidRDefault="00B17570" w:rsidP="00B17570">
      <w:pPr>
        <w:widowControl w:val="0"/>
        <w:autoSpaceDE w:val="0"/>
        <w:autoSpaceDN w:val="0"/>
        <w:adjustRightInd w:val="0"/>
        <w:spacing w:after="0" w:line="240" w:lineRule="auto"/>
        <w:ind w:left="640" w:hanging="640"/>
      </w:pPr>
      <w:r w:rsidRPr="00BC4578">
        <w:rPr>
          <w:b/>
          <w:sz w:val="24"/>
          <w:szCs w:val="24"/>
        </w:rPr>
        <w:t>SUPPLEMENT 1</w:t>
      </w:r>
    </w:p>
    <w:p w:rsidR="00B17570" w:rsidRPr="00BC4578" w:rsidRDefault="00B17570" w:rsidP="00B17570">
      <w:pPr>
        <w:widowControl w:val="0"/>
        <w:autoSpaceDE w:val="0"/>
        <w:autoSpaceDN w:val="0"/>
        <w:adjustRightInd w:val="0"/>
        <w:spacing w:after="0" w:line="240" w:lineRule="auto"/>
        <w:ind w:left="640" w:hanging="640"/>
      </w:pPr>
    </w:p>
    <w:p w:rsidR="00FC0F67" w:rsidRPr="00BC4578" w:rsidRDefault="00B17570" w:rsidP="00881CBD">
      <w:pPr>
        <w:jc w:val="both"/>
      </w:pPr>
      <w:r w:rsidRPr="00BC4578">
        <w:t xml:space="preserve">Detailed exclusion criteria of the current study, </w:t>
      </w:r>
      <w:r w:rsidR="00110D9F" w:rsidRPr="00BC4578">
        <w:t xml:space="preserve">age distribution, </w:t>
      </w:r>
      <w:r w:rsidRPr="00BC4578">
        <w:t>task visual presentation, data preprocessing</w:t>
      </w:r>
      <w:r w:rsidR="00742616" w:rsidRPr="00BC4578">
        <w:t xml:space="preserve"> and sensitivity analysis</w:t>
      </w:r>
      <w:r w:rsidRPr="00BC4578">
        <w:t xml:space="preserve"> are described below.</w:t>
      </w:r>
    </w:p>
    <w:p w:rsidR="00B17570" w:rsidRPr="00BC4578" w:rsidRDefault="00B17570" w:rsidP="00B17570">
      <w:pPr>
        <w:spacing w:after="0"/>
        <w:ind w:firstLine="720"/>
        <w:jc w:val="both"/>
      </w:pPr>
    </w:p>
    <w:p w:rsidR="00B17570" w:rsidRPr="00BC4578" w:rsidRDefault="0077124D" w:rsidP="00B17570">
      <w:pPr>
        <w:spacing w:after="0"/>
        <w:jc w:val="both"/>
        <w:rPr>
          <w:b/>
        </w:rPr>
      </w:pPr>
      <w:r w:rsidRPr="00BC4578">
        <w:rPr>
          <w:b/>
        </w:rPr>
        <w:t xml:space="preserve">Recruitment/Diagnostic procedure of </w:t>
      </w:r>
      <w:proofErr w:type="spellStart"/>
      <w:r w:rsidRPr="00BC4578">
        <w:rPr>
          <w:b/>
        </w:rPr>
        <w:t>NeuroIMAGE</w:t>
      </w:r>
      <w:proofErr w:type="spellEnd"/>
      <w:r w:rsidRPr="00BC4578">
        <w:rPr>
          <w:b/>
        </w:rPr>
        <w:t xml:space="preserve"> p</w:t>
      </w:r>
      <w:r w:rsidR="00B17570" w:rsidRPr="00BC4578">
        <w:rPr>
          <w:b/>
        </w:rPr>
        <w:t>roject</w:t>
      </w:r>
    </w:p>
    <w:p w:rsidR="00B17570" w:rsidRPr="00BC4578" w:rsidRDefault="00B17570" w:rsidP="00B17570">
      <w:pPr>
        <w:spacing w:after="0"/>
        <w:jc w:val="both"/>
        <w:rPr>
          <w:b/>
        </w:rPr>
      </w:pPr>
    </w:p>
    <w:p w:rsidR="003954AF" w:rsidRPr="00BC4578" w:rsidRDefault="003954AF" w:rsidP="00881CBD">
      <w:pPr>
        <w:jc w:val="both"/>
      </w:pPr>
      <w:r w:rsidRPr="00BC4578">
        <w:t>The diagnostic algorithm for ADHD included assessment with the Affective Disorders and Schizophrenia for School-Age Children-Present and Lifetime Version (K-SADS)</w:t>
      </w:r>
      <w:r w:rsidR="003E0586" w:rsidRPr="00BC4578">
        <w:fldChar w:fldCharType="begin" w:fldLock="1"/>
      </w:r>
      <w:r w:rsidR="000906E5" w:rsidRPr="00BC4578">
        <w:instrText>ADDIN CSL_CITATION {"citationItems":[{"id":"ITEM-1","itemData":{"DOI":"10.1097/00004583-199707000-00021","ISSN":"0890-8567","author":[{"dropping-particle":"","family":"Kaufman","given":"Joan","non-dropping-particle":"","parse-names":false,"suffix":""},{"dropping-particle":"","family":"Ph","given":"D","non-dropping-particle":"","parse-names":false,"suffix":""},{"dropping-particle":"","family":"Birmaher","given":"Boris","non-dropping-particle":"","parse-names":false,"suffix":""},{"dropping-particle":"","family":"Brent","given":"David","non-dropping-particle":"","parse-names":false,"suffix":""},{"dropping-particle":"","family":"Rao","given":"U M A","non-dropping-particle":"","parse-names":false,"suffix":""},{"dropping-particle":"","family":"Flynn","given":"Cynthia","non-dropping-particle":"","parse-names":false,"suffix":""},{"dropping-particle":"","family":"Moreci","given":"Paula","non-dropping-particle":"","parse-names":false,"suffix":""},{"dropping-particle":"","family":"Williamson","given":"Douglas","non-dropping-particle":"","parse-names":false,"suffix":""}],"container-title":"Journal of the American Academy of Child &amp; Adolescent Psychiatry","id":"ITEM-1","issue":"7","issued":{"date-parts":[["1997"]]},"page":"980-988","publisher":"The American Academy of Child and Adolescent Psychiatry","title":"Schedule for Affective Disorders and Schizophrenia for School-Age Children-Present and Lifetime Version ( K-SADS-PL ): Initial Reliability and Validity Data","type":"article-journal","volume":"36"},"uris":["http://www.mendeley.com/documents/?uuid=f7063b7c-3979-4ec6-b039-9473ff77f60a"]}],"mendeley":{"formattedCitation":"&lt;sup&gt;1&lt;/sup&gt;","plainTextFormattedCitation":"1","previouslyFormattedCitation":"&lt;sup&gt;1&lt;/sup&gt;"},"properties":{"noteIndex":0},"schema":"https://github.com/citation-style-language/schema/raw/master/csl-citation.json"}</w:instrText>
      </w:r>
      <w:r w:rsidR="003E0586" w:rsidRPr="00BC4578">
        <w:fldChar w:fldCharType="separate"/>
      </w:r>
      <w:r w:rsidR="000906E5" w:rsidRPr="00BC4578">
        <w:rPr>
          <w:noProof/>
          <w:vertAlign w:val="superscript"/>
        </w:rPr>
        <w:t>1</w:t>
      </w:r>
      <w:r w:rsidR="003E0586" w:rsidRPr="00BC4578">
        <w:fldChar w:fldCharType="end"/>
      </w:r>
      <w:r w:rsidRPr="00BC4578">
        <w:t xml:space="preserve"> and the </w:t>
      </w:r>
      <w:proofErr w:type="spellStart"/>
      <w:r w:rsidRPr="00BC4578">
        <w:t>Conners</w:t>
      </w:r>
      <w:proofErr w:type="spellEnd"/>
      <w:r w:rsidRPr="00BC4578">
        <w:t>’ rating scale</w:t>
      </w:r>
      <w:r w:rsidR="003E0586" w:rsidRPr="00BC4578">
        <w:fldChar w:fldCharType="begin" w:fldLock="1"/>
      </w:r>
      <w:r w:rsidR="000906E5" w:rsidRPr="00BC4578">
        <w:instrText>ADDIN CSL_CITATION {"citationItems":[{"id":"ITEM-1","itemData":{"author":[{"dropping-particle":"","family":"Conners","given":"C Keith","non-dropping-particle":"","parse-names":false,"suffix":""},{"dropping-particle":"","family":"Sitarenios","given":"Gill","non-dropping-particle":"","parse-names":false,"suffix":""},{"dropping-particle":"","family":"Parker","given":"James D A","non-dropping-particle":"","parse-names":false,"suffix":""},{"dropping-particle":"","family":"Epstein","given":"Jeffery N","non-dropping-particle":"","parse-names":false,"suffix":""}],"id":"ITEM-1","issue":"4","issued":{"date-parts":[["1998"]]},"page":"279-291","title":"Revision and Restandardization of the Conners Teacher Rating Scale ( CTRS-R ): Factor Structure , Reliability , and Criterion Validity","type":"article-journal","volume":"26"},"uris":["http://www.mendeley.com/documents/?uuid=375ea2ee-067d-4a02-aba4-f1e5f5315f5b"]},{"id":"ITEM-2","itemData":{"DOI":"10.1177/108705479900300303","author":[{"dropping-particle":"","family":"Conners, C. K., Erhardt, D., Epstein, J. N., Parker, J. D. A., Sitarenios, G., &amp; Sparrow","given":"E.","non-dropping-particle":"","parse-names":false,"suffix":""}],"id":"ITEM-2","issue":"3","issued":{"date-parts":[["1999"]]},"page":"141-151","title":"Self-ratings of ADHD symptoms in adults I: Factor structure and normative data","type":"article-journal","volume":"3"},"uris":["http://www.mendeley.com/documents/?uuid=53c32e71-7b78-4e0c-b24d-8b55ad2220f9"]}],"mendeley":{"formattedCitation":"&lt;sup&gt;2,3&lt;/sup&gt;","plainTextFormattedCitation":"2,3","previouslyFormattedCitation":"&lt;sup&gt;2,3&lt;/sup&gt;"},"properties":{"noteIndex":0},"schema":"https://github.com/citation-style-language/schema/raw/master/csl-citation.json"}</w:instrText>
      </w:r>
      <w:r w:rsidR="003E0586" w:rsidRPr="00BC4578">
        <w:fldChar w:fldCharType="separate"/>
      </w:r>
      <w:r w:rsidR="000906E5" w:rsidRPr="00BC4578">
        <w:rPr>
          <w:noProof/>
          <w:vertAlign w:val="superscript"/>
        </w:rPr>
        <w:t>2,3</w:t>
      </w:r>
      <w:r w:rsidR="003E0586" w:rsidRPr="00BC4578">
        <w:fldChar w:fldCharType="end"/>
      </w:r>
      <w:r w:rsidRPr="00BC4578">
        <w:t xml:space="preserve">. KSADS is a semi-structured diagnostic interview based on the DSM-IV criteria and symptoms. Elevated scores in the KSADS lead to additional assessment with the </w:t>
      </w:r>
      <w:proofErr w:type="spellStart"/>
      <w:r w:rsidRPr="00BC4578">
        <w:t>Conners</w:t>
      </w:r>
      <w:proofErr w:type="spellEnd"/>
      <w:r w:rsidRPr="00BC4578">
        <w:t xml:space="preserve">' questionnaires. Children &lt; 18 years were evaluated with the </w:t>
      </w:r>
      <w:hyperlink r:id="rId5" w:history="1">
        <w:proofErr w:type="spellStart"/>
        <w:r w:rsidRPr="00BC4578">
          <w:t>Conners</w:t>
        </w:r>
        <w:proofErr w:type="spellEnd"/>
        <w:r w:rsidRPr="00BC4578">
          <w:t>' Parent Rating Scales</w:t>
        </w:r>
      </w:hyperlink>
      <w:r w:rsidRPr="00BC4578">
        <w:t xml:space="preserve"> (CPRS-R</w:t>
      </w:r>
      <w:proofErr w:type="gramStart"/>
      <w:r w:rsidRPr="00BC4578">
        <w:t>:L</w:t>
      </w:r>
      <w:proofErr w:type="gramEnd"/>
      <w:r w:rsidRPr="00BC4578">
        <w:t xml:space="preserve">) and the </w:t>
      </w:r>
      <w:hyperlink r:id="rId6" w:history="1">
        <w:proofErr w:type="spellStart"/>
        <w:r w:rsidRPr="00BC4578">
          <w:t>Conners</w:t>
        </w:r>
        <w:proofErr w:type="spellEnd"/>
        <w:r w:rsidRPr="00BC4578">
          <w:t>' Teacher Rating Scales</w:t>
        </w:r>
      </w:hyperlink>
      <w:r w:rsidRPr="00BC4578">
        <w:t xml:space="preserve"> (CTRS-R:L), while children ≥ 18 years were assessed with the CPRS-R:L and the </w:t>
      </w:r>
      <w:proofErr w:type="spellStart"/>
      <w:r w:rsidRPr="00BC4578">
        <w:t>Conners</w:t>
      </w:r>
      <w:proofErr w:type="spellEnd"/>
      <w:r w:rsidRPr="00BC4578">
        <w:t>’ Adult ADHD Rating Scales (CAARS-S:S).</w:t>
      </w:r>
    </w:p>
    <w:p w:rsidR="00110D9F" w:rsidRPr="00BC4578" w:rsidRDefault="003954AF" w:rsidP="00110D9F">
      <w:pPr>
        <w:jc w:val="both"/>
      </w:pPr>
      <w:r w:rsidRPr="00BC4578">
        <w:t xml:space="preserve">In </w:t>
      </w:r>
      <w:proofErr w:type="spellStart"/>
      <w:r w:rsidRPr="00BC4578">
        <w:t>NeuroIMAGE</w:t>
      </w:r>
      <w:proofErr w:type="spellEnd"/>
      <w:r w:rsidRPr="00BC4578">
        <w:t xml:space="preserve">, ADHD patients were characterized by an estimated IQ level ≥ 70, a T-score ≥ 63 on at least one of the DSM-IV ADHD scales in at least one of the </w:t>
      </w:r>
      <w:proofErr w:type="spellStart"/>
      <w:r w:rsidRPr="00BC4578">
        <w:t>Conners</w:t>
      </w:r>
      <w:proofErr w:type="spellEnd"/>
      <w:r w:rsidRPr="00BC4578">
        <w:t>’ rating scales (DSM Inattentive behavior, DSM Hyperactive/Impulsive behavior, DSM Total) and an onset age before 12 that met the DSM-IV criteria for impairment and pervasiveness. Moreover, healthy controls were characterized by an estimated IQ level ≥ 70, a T-score &lt; 63 on all the DSM-IV ADHD scales and three or fewer symptoms in case of children and adolescents and two or fewer symptoms for adults as derived from the diagnostic algorithm that had no affected siblings. Participants that did not meet criteria for inclusion in the ADHD or the control group were excluded from subsequent analyses.</w:t>
      </w:r>
    </w:p>
    <w:p w:rsidR="00110D9F" w:rsidRPr="00BC4578" w:rsidRDefault="00110D9F" w:rsidP="00110D9F">
      <w:pPr>
        <w:jc w:val="both"/>
      </w:pPr>
    </w:p>
    <w:p w:rsidR="00110D9F" w:rsidRPr="00BC4578" w:rsidRDefault="00110D9F" w:rsidP="00110D9F">
      <w:pPr>
        <w:spacing w:after="0"/>
        <w:jc w:val="both"/>
        <w:rPr>
          <w:b/>
        </w:rPr>
      </w:pPr>
      <w:r w:rsidRPr="00BC4578">
        <w:rPr>
          <w:b/>
        </w:rPr>
        <w:t>Sample characteristics</w:t>
      </w:r>
    </w:p>
    <w:p w:rsidR="00110D9F" w:rsidRPr="00BC4578" w:rsidRDefault="00110D9F" w:rsidP="00110D9F">
      <w:pPr>
        <w:spacing w:after="0"/>
        <w:jc w:val="both"/>
        <w:rPr>
          <w:b/>
        </w:rPr>
      </w:pPr>
    </w:p>
    <w:p w:rsidR="008E5BDE" w:rsidRPr="00BC4578" w:rsidRDefault="00110D9F" w:rsidP="008E5BDE">
      <w:pPr>
        <w:keepNext/>
        <w:ind w:left="709"/>
        <w:jc w:val="both"/>
      </w:pPr>
      <w:r w:rsidRPr="00BC4578">
        <w:rPr>
          <w:b/>
          <w:noProof/>
          <w:lang w:val="el-GR" w:eastAsia="el-GR"/>
        </w:rPr>
        <w:drawing>
          <wp:inline distT="0" distB="0" distL="0" distR="0">
            <wp:extent cx="4519847" cy="2946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23058" cy="2948493"/>
                    </a:xfrm>
                    <a:prstGeom prst="rect">
                      <a:avLst/>
                    </a:prstGeom>
                    <a:noFill/>
                    <a:ln w="9525">
                      <a:noFill/>
                      <a:miter lim="800000"/>
                      <a:headEnd/>
                      <a:tailEnd/>
                    </a:ln>
                  </pic:spPr>
                </pic:pic>
              </a:graphicData>
            </a:graphic>
          </wp:inline>
        </w:drawing>
      </w:r>
    </w:p>
    <w:p w:rsidR="00110D9F" w:rsidRPr="00BC4578" w:rsidRDefault="008E5BDE" w:rsidP="008E5BDE">
      <w:pPr>
        <w:pStyle w:val="a3"/>
        <w:ind w:left="851"/>
        <w:jc w:val="both"/>
        <w:rPr>
          <w:b w:val="0"/>
          <w:color w:val="auto"/>
          <w:lang w:val="en-US"/>
        </w:rPr>
      </w:pPr>
      <w:r w:rsidRPr="00BC4578">
        <w:rPr>
          <w:color w:val="auto"/>
          <w:lang w:val="en-US"/>
        </w:rPr>
        <w:t>Figure S</w:t>
      </w:r>
      <w:r w:rsidR="003E0586" w:rsidRPr="00BC4578">
        <w:rPr>
          <w:color w:val="auto"/>
        </w:rPr>
        <w:fldChar w:fldCharType="begin"/>
      </w:r>
      <w:r w:rsidRPr="00BC4578">
        <w:rPr>
          <w:color w:val="auto"/>
          <w:lang w:val="en-US"/>
        </w:rPr>
        <w:instrText xml:space="preserve"> SEQ </w:instrText>
      </w:r>
      <w:r w:rsidRPr="00BC4578">
        <w:rPr>
          <w:color w:val="auto"/>
        </w:rPr>
        <w:instrText>Εικόνα</w:instrText>
      </w:r>
      <w:r w:rsidRPr="00BC4578">
        <w:rPr>
          <w:color w:val="auto"/>
          <w:lang w:val="en-US"/>
        </w:rPr>
        <w:instrText xml:space="preserve"> \* ARABIC </w:instrText>
      </w:r>
      <w:r w:rsidR="003E0586" w:rsidRPr="00BC4578">
        <w:rPr>
          <w:color w:val="auto"/>
        </w:rPr>
        <w:fldChar w:fldCharType="separate"/>
      </w:r>
      <w:r w:rsidRPr="00BC4578">
        <w:rPr>
          <w:noProof/>
          <w:color w:val="auto"/>
          <w:lang w:val="en-US"/>
        </w:rPr>
        <w:t>1</w:t>
      </w:r>
      <w:r w:rsidR="003E0586" w:rsidRPr="00BC4578">
        <w:rPr>
          <w:color w:val="auto"/>
        </w:rPr>
        <w:fldChar w:fldCharType="end"/>
      </w:r>
      <w:r w:rsidRPr="00BC4578">
        <w:rPr>
          <w:color w:val="auto"/>
          <w:lang w:val="en-US"/>
        </w:rPr>
        <w:t>. Age distribution in (</w:t>
      </w:r>
      <w:proofErr w:type="spellStart"/>
      <w:r w:rsidRPr="00BC4578">
        <w:rPr>
          <w:color w:val="auto"/>
          <w:lang w:val="en-US"/>
        </w:rPr>
        <w:t>i</w:t>
      </w:r>
      <w:proofErr w:type="spellEnd"/>
      <w:r w:rsidRPr="00BC4578">
        <w:rPr>
          <w:color w:val="auto"/>
          <w:lang w:val="en-US"/>
        </w:rPr>
        <w:t xml:space="preserve">) </w:t>
      </w:r>
      <w:r w:rsidR="002028A6" w:rsidRPr="00BC4578">
        <w:rPr>
          <w:color w:val="auto"/>
          <w:lang w:val="en-US"/>
        </w:rPr>
        <w:t>effects of family history</w:t>
      </w:r>
      <w:r w:rsidRPr="00BC4578">
        <w:rPr>
          <w:color w:val="auto"/>
          <w:lang w:val="en-US"/>
        </w:rPr>
        <w:t xml:space="preserve"> </w:t>
      </w:r>
      <w:r w:rsidR="00207AFC" w:rsidRPr="00BC4578">
        <w:rPr>
          <w:color w:val="auto"/>
          <w:lang w:val="en-US"/>
        </w:rPr>
        <w:t>of SUD</w:t>
      </w:r>
      <w:r w:rsidR="00F96A46" w:rsidRPr="00BC4578">
        <w:rPr>
          <w:color w:val="auto"/>
          <w:lang w:val="en-US"/>
        </w:rPr>
        <w:t xml:space="preserve"> (FH)</w:t>
      </w:r>
    </w:p>
    <w:p w:rsidR="008E5BDE" w:rsidRPr="00BC4578" w:rsidRDefault="008E5BDE" w:rsidP="008E5BDE">
      <w:pPr>
        <w:keepNext/>
        <w:spacing w:after="0"/>
        <w:ind w:left="851"/>
        <w:jc w:val="both"/>
      </w:pPr>
      <w:r w:rsidRPr="00BC4578">
        <w:rPr>
          <w:b/>
          <w:noProof/>
          <w:lang w:val="el-GR" w:eastAsia="el-GR"/>
        </w:rPr>
        <w:lastRenderedPageBreak/>
        <w:drawing>
          <wp:inline distT="0" distB="0" distL="0" distR="0">
            <wp:extent cx="4522506" cy="294894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31467" cy="2954783"/>
                    </a:xfrm>
                    <a:prstGeom prst="rect">
                      <a:avLst/>
                    </a:prstGeom>
                    <a:noFill/>
                    <a:ln w="9525">
                      <a:noFill/>
                      <a:miter lim="800000"/>
                      <a:headEnd/>
                      <a:tailEnd/>
                    </a:ln>
                  </pic:spPr>
                </pic:pic>
              </a:graphicData>
            </a:graphic>
          </wp:inline>
        </w:drawing>
      </w:r>
    </w:p>
    <w:p w:rsidR="00B17570" w:rsidRPr="00BC4578" w:rsidRDefault="008E5BDE" w:rsidP="008E5BDE">
      <w:pPr>
        <w:pStyle w:val="a3"/>
        <w:ind w:left="993"/>
        <w:jc w:val="both"/>
        <w:rPr>
          <w:b w:val="0"/>
          <w:color w:val="auto"/>
          <w:lang w:val="en-US"/>
        </w:rPr>
      </w:pPr>
      <w:r w:rsidRPr="00BC4578">
        <w:rPr>
          <w:color w:val="auto"/>
          <w:lang w:val="en-US"/>
        </w:rPr>
        <w:t>Figure S</w:t>
      </w:r>
      <w:r w:rsidR="003E0586" w:rsidRPr="00BC4578">
        <w:rPr>
          <w:color w:val="auto"/>
        </w:rPr>
        <w:fldChar w:fldCharType="begin"/>
      </w:r>
      <w:r w:rsidRPr="00BC4578">
        <w:rPr>
          <w:color w:val="auto"/>
          <w:lang w:val="en-US"/>
        </w:rPr>
        <w:instrText xml:space="preserve"> SEQ </w:instrText>
      </w:r>
      <w:r w:rsidRPr="00BC4578">
        <w:rPr>
          <w:color w:val="auto"/>
        </w:rPr>
        <w:instrText>Εικόνα</w:instrText>
      </w:r>
      <w:r w:rsidRPr="00BC4578">
        <w:rPr>
          <w:color w:val="auto"/>
          <w:lang w:val="en-US"/>
        </w:rPr>
        <w:instrText xml:space="preserve"> \* ARABIC </w:instrText>
      </w:r>
      <w:r w:rsidR="003E0586" w:rsidRPr="00BC4578">
        <w:rPr>
          <w:color w:val="auto"/>
        </w:rPr>
        <w:fldChar w:fldCharType="separate"/>
      </w:r>
      <w:r w:rsidRPr="00BC4578">
        <w:rPr>
          <w:noProof/>
          <w:color w:val="auto"/>
          <w:lang w:val="en-US"/>
        </w:rPr>
        <w:t>2</w:t>
      </w:r>
      <w:r w:rsidR="003E0586" w:rsidRPr="00BC4578">
        <w:rPr>
          <w:color w:val="auto"/>
        </w:rPr>
        <w:fldChar w:fldCharType="end"/>
      </w:r>
      <w:r w:rsidR="002028A6" w:rsidRPr="00BC4578">
        <w:rPr>
          <w:color w:val="auto"/>
          <w:lang w:val="en-US"/>
        </w:rPr>
        <w:t>. Age distribution in (</w:t>
      </w:r>
      <w:proofErr w:type="spellStart"/>
      <w:r w:rsidR="002028A6" w:rsidRPr="00BC4578">
        <w:rPr>
          <w:color w:val="auto"/>
          <w:lang w:val="en-US"/>
        </w:rPr>
        <w:t>i</w:t>
      </w:r>
      <w:proofErr w:type="spellEnd"/>
      <w:r w:rsidR="002028A6" w:rsidRPr="00BC4578">
        <w:rPr>
          <w:color w:val="auto"/>
          <w:lang w:val="en-US"/>
        </w:rPr>
        <w:t xml:space="preserve">) </w:t>
      </w:r>
      <w:r w:rsidRPr="00BC4578">
        <w:rPr>
          <w:color w:val="auto"/>
          <w:lang w:val="en-US"/>
        </w:rPr>
        <w:t xml:space="preserve">effects </w:t>
      </w:r>
      <w:r w:rsidR="00207AFC" w:rsidRPr="00BC4578">
        <w:rPr>
          <w:color w:val="auto"/>
          <w:lang w:val="en-US"/>
        </w:rPr>
        <w:t>of substance misuse</w:t>
      </w:r>
      <w:r w:rsidR="00F96A46" w:rsidRPr="00BC4578">
        <w:rPr>
          <w:color w:val="auto"/>
          <w:lang w:val="en-US"/>
        </w:rPr>
        <w:t xml:space="preserve"> (SM)</w:t>
      </w:r>
    </w:p>
    <w:p w:rsidR="0086404F" w:rsidRPr="00BC4578" w:rsidRDefault="0086404F" w:rsidP="00B17570">
      <w:pPr>
        <w:spacing w:after="0"/>
        <w:jc w:val="both"/>
        <w:rPr>
          <w:b/>
        </w:rPr>
      </w:pPr>
    </w:p>
    <w:p w:rsidR="00B17570" w:rsidRPr="00BC4578" w:rsidRDefault="00B17570" w:rsidP="00B17570">
      <w:pPr>
        <w:spacing w:after="0"/>
        <w:jc w:val="both"/>
        <w:rPr>
          <w:b/>
        </w:rPr>
      </w:pPr>
      <w:r w:rsidRPr="00BC4578">
        <w:rPr>
          <w:b/>
        </w:rPr>
        <w:t>Data pre-processing</w:t>
      </w:r>
    </w:p>
    <w:p w:rsidR="00B17570" w:rsidRPr="00BC4578" w:rsidRDefault="00B17570" w:rsidP="00B17570">
      <w:pPr>
        <w:spacing w:after="0"/>
        <w:jc w:val="both"/>
        <w:rPr>
          <w:b/>
        </w:rPr>
      </w:pPr>
    </w:p>
    <w:p w:rsidR="00B17570" w:rsidRPr="00BC4578" w:rsidRDefault="00B17570" w:rsidP="00B17570">
      <w:pPr>
        <w:jc w:val="both"/>
      </w:pPr>
      <w:r w:rsidRPr="00BC4578">
        <w:t>SVs were calculated based on the proportion of delayed choices</w:t>
      </w:r>
      <w:r w:rsidR="003E0586" w:rsidRPr="00BC4578">
        <w:fldChar w:fldCharType="begin" w:fldLock="1"/>
      </w:r>
      <w:r w:rsidR="000906E5" w:rsidRPr="00BC4578">
        <w:instrText>ADDIN CSL_CITATION {"citationItems":[{"id":"ITEM-1","itemData":{"DOI":"10.1016/j.cortex.2018.05.018","ISSN":"19738102","abstract":"Objective: Children and adolescents with ADHD have a relatively strong preference for smaller immediate rewards over larger delayed rewards (steep delay discounting). It is unknown whether such steep discounting of rewards is specific for delayed rewards, i.e., supporting the delay aversion account of ADHD, or whether it is also present for effortful rewards, i.e., representing general reward insensitivity. Therefore, this study examined behavioral and BOLD responses during delay discounting (DD) and effort discounting (ED) in ADHD. Method: Thirty adolescents with ADHD and 28 controls (12–17 years) were scanned while performing a DD-ED task (fMRI findings were based on 21 and 25 participants, respectively). During DD, participants were presented with a series of choices between a small reward delivered immediately and a larger reward delivered after 5–25s. During ED, participants were presented with choices between a small reward that was delivered after exerting 15% of their maximal hand grip strength and a larger reward delivered after exerting 30–90% of their strength. Results: Analyses on the subjective values of delayed and effortful rewards and on the Area Under the discounting Curves (AUCs) indicated that adolescents with ADHD showed steeper discounting than controls for DD, but not for ED. This was accompanied by a slightly stronger delay dose–response relationship in the amygdala for adolescents with ADHD who reported to be more delay averse in daily life. Conclusion: Together, these results–steeper DD in the ADHD group and a stronger delay dose–response relationship in the amygdala, while no evidence for group differences in ED was found–support the delay aversion account of ADHD.","author":[{"dropping-particle":"","family":"Mies","given":"Gabry W.","non-dropping-particle":"","parse-names":false,"suffix":""},{"dropping-particle":"","family":"Ma","given":"Ili","non-dropping-particle":"","parse-names":false,"suffix":""},{"dropping-particle":"","family":"Water","given":"Erik","non-dropping-particle":"de","parse-names":false,"suffix":""},{"dropping-particle":"","family":"Buitelaar","given":"Jan K.","non-dropping-particle":"","parse-names":false,"suffix":""},{"dropping-particle":"","family":"Scheres","given":"Anouk","non-dropping-particle":"","parse-names":false,"suffix":""}],"container-title":"Cortex","id":"ITEM-1","issued":{"date-parts":[["2018"]]},"page":"164-173","publisher":"Elsevier Ltd","title":"Waiting and working for rewards: Attention-Deficit/Hyperactivity Disorder is associated with steeper delay discounting linked to amygdala activation, but not with steeper effort discounting","type":"article-journal","volume":"106"},"uris":["http://www.mendeley.com/documents/?uuid=f4232a68-962f-4f49-8037-542e7dee6c07"]}],"mendeley":{"formattedCitation":"&lt;sup&gt;4&lt;/sup&gt;","plainTextFormattedCitation":"4","previouslyFormattedCitation":"&lt;sup&gt;4&lt;/sup&gt;"},"properties":{"noteIndex":0},"schema":"https://github.com/citation-style-language/schema/raw/master/csl-citation.json"}</w:instrText>
      </w:r>
      <w:r w:rsidR="003E0586" w:rsidRPr="00BC4578">
        <w:fldChar w:fldCharType="separate"/>
      </w:r>
      <w:r w:rsidR="000906E5" w:rsidRPr="00BC4578">
        <w:rPr>
          <w:noProof/>
          <w:vertAlign w:val="superscript"/>
        </w:rPr>
        <w:t>4</w:t>
      </w:r>
      <w:r w:rsidR="003E0586" w:rsidRPr="00BC4578">
        <w:fldChar w:fldCharType="end"/>
      </w:r>
      <w:r w:rsidRPr="00BC4578">
        <w:t>.</w:t>
      </w:r>
      <w:r w:rsidR="00F214A0" w:rsidRPr="00BC4578">
        <w:t xml:space="preserve"> </w:t>
      </w:r>
      <w:r w:rsidRPr="00BC4578">
        <w:t xml:space="preserve">In detail, the highest possible SV was defined as the average of the large-delayed reward and the highest small-immediate reward (i.e. 4.5), whereas the lowest possible SV was the average of 0 and the lowest small-immediate reward (0.5). SV in each delay was then calculated as the number of large-delayed choices divided by the number of total choices, which was then multiplied with the highest possible SV and was finally added to the lowest possible SV. </w:t>
      </w:r>
    </w:p>
    <w:p w:rsidR="00B17570" w:rsidRPr="00BC4578" w:rsidRDefault="00B17570" w:rsidP="00B17570">
      <w:pPr>
        <w:jc w:val="both"/>
      </w:pPr>
      <w:r w:rsidRPr="00BC4578">
        <w:t>SVs and delays were normalized, so that SVs were expressed as proportions of the large-delayed reward and delays as proportions of the maximum delay. The areas under the curve (AUCs) between two successive delays were subsequently computed. For this, we used the function (x</w:t>
      </w:r>
      <w:r w:rsidRPr="00BC4578">
        <w:rPr>
          <w:vertAlign w:val="subscript"/>
        </w:rPr>
        <w:t>2</w:t>
      </w:r>
      <w:r w:rsidRPr="00BC4578">
        <w:t xml:space="preserve"> – x</w:t>
      </w:r>
      <w:r w:rsidRPr="00BC4578">
        <w:rPr>
          <w:vertAlign w:val="subscript"/>
        </w:rPr>
        <w:t>1</w:t>
      </w:r>
      <w:r w:rsidRPr="00BC4578">
        <w:t>)*[y</w:t>
      </w:r>
      <w:r w:rsidRPr="00BC4578">
        <w:rPr>
          <w:vertAlign w:val="subscript"/>
        </w:rPr>
        <w:t>1</w:t>
      </w:r>
      <w:r w:rsidRPr="00BC4578">
        <w:t>+y</w:t>
      </w:r>
      <w:r w:rsidRPr="00BC4578">
        <w:rPr>
          <w:vertAlign w:val="subscript"/>
        </w:rPr>
        <w:t>2</w:t>
      </w:r>
      <w:r w:rsidRPr="00BC4578">
        <w:t>)/2], where x</w:t>
      </w:r>
      <w:r w:rsidRPr="00BC4578">
        <w:rPr>
          <w:vertAlign w:val="subscript"/>
        </w:rPr>
        <w:t>1</w:t>
      </w:r>
      <w:r w:rsidRPr="00BC4578">
        <w:t xml:space="preserve"> and x</w:t>
      </w:r>
      <w:r w:rsidRPr="00BC4578">
        <w:rPr>
          <w:vertAlign w:val="subscript"/>
        </w:rPr>
        <w:t>2</w:t>
      </w:r>
      <w:r w:rsidRPr="00BC4578">
        <w:t xml:space="preserve"> were successive delays, and y</w:t>
      </w:r>
      <w:r w:rsidRPr="00BC4578">
        <w:rPr>
          <w:vertAlign w:val="subscript"/>
        </w:rPr>
        <w:t>1</w:t>
      </w:r>
      <w:r w:rsidRPr="00BC4578">
        <w:t xml:space="preserve"> and y</w:t>
      </w:r>
      <w:r w:rsidRPr="00BC4578">
        <w:rPr>
          <w:vertAlign w:val="subscript"/>
        </w:rPr>
        <w:t>2</w:t>
      </w:r>
      <w:r w:rsidRPr="00BC4578">
        <w:t xml:space="preserve"> were the SVs in these delays. Successive AUCs were then summed to produce the total AUC</w:t>
      </w:r>
      <w:r w:rsidR="003E0586" w:rsidRPr="00BC4578">
        <w:fldChar w:fldCharType="begin" w:fldLock="1"/>
      </w:r>
      <w:r w:rsidR="000906E5" w:rsidRPr="00BC4578">
        <w:instrText>ADDIN CSL_CITATION {"citationItems":[{"id":"ITEM-1","itemData":{"DOI":"10.3389/fpsyg.2014.00711","ISSN":"16641078","abstract":"The goal of this study was to examine age effects on the ability/willingness to wait for large rewards in a real temporal reward discounting task from childhood to adulthood. Therefore, a real temporal discounting (TD) task was administered to children aged 6-12 (n = 39), adolescents aged 13-17 (n = 28), and young adults aged 18-19 (n = 55). Findings indicated that the cross-sectional development of TD followed a quadratic pattern across age groups, with adolescents choosing more often than children and adults to wait for the large delayed reward, resulting in reward-maximization. Various interpretations of this finding were offered, including a focus on reward maximization despite an immature ability to exert self-control, and flexible self-control which was high during this task as a result of strong motivation to maximize financial gains. © 2014 Scheres, Tontsch, Thoeny and Sumiya.","author":[{"dropping-particle":"","family":"Scheres","given":"Anouk","non-dropping-particle":"","parse-names":false,"suffix":""},{"dropping-particle":"","family":"Tontsch","given":"Chandra","non-dropping-particle":"","parse-names":false,"suffix":""},{"dropping-particle":"","family":"Thoeny","given":"Allison L.","non-dropping-particle":"","parse-names":false,"suffix":""},{"dropping-particle":"","family":"Sumiya","given":"Motofumi","non-dropping-particle":"","parse-names":false,"suffix":""}],"container-title":"Frontiers in Psychology","id":"ITEM-1","issue":"JUL","issued":{"date-parts":[["2014"]]},"page":"1-7","title":"Temporal reward discounting in children, adolescents, and emerging adults during an experiential task","type":"article-journal","volume":"5"},"uris":["http://www.mendeley.com/documents/?uuid=0676eebe-d075-4efc-9629-9ec87a750df8"]}],"mendeley":{"formattedCitation":"&lt;sup&gt;5&lt;/sup&gt;","plainTextFormattedCitation":"5"},"properties":{"noteIndex":0},"schema":"https://github.com/citation-style-language/schema/raw/master/csl-citation.json"}</w:instrText>
      </w:r>
      <w:r w:rsidR="003E0586" w:rsidRPr="00BC4578">
        <w:fldChar w:fldCharType="separate"/>
      </w:r>
      <w:r w:rsidR="000906E5" w:rsidRPr="00BC4578">
        <w:rPr>
          <w:noProof/>
          <w:vertAlign w:val="superscript"/>
        </w:rPr>
        <w:t>5</w:t>
      </w:r>
      <w:r w:rsidR="003E0586" w:rsidRPr="00BC4578">
        <w:fldChar w:fldCharType="end"/>
      </w:r>
      <w:r w:rsidRPr="00BC4578">
        <w:t xml:space="preserve">, which we used for the analysis. </w:t>
      </w:r>
    </w:p>
    <w:p w:rsidR="00A00C70" w:rsidRPr="00BC4578" w:rsidRDefault="00A00C70" w:rsidP="00B17570">
      <w:pPr>
        <w:jc w:val="both"/>
      </w:pPr>
    </w:p>
    <w:p w:rsidR="006302AA" w:rsidRPr="00BC4578" w:rsidRDefault="006302AA" w:rsidP="006302AA">
      <w:pPr>
        <w:spacing w:after="0"/>
        <w:jc w:val="both"/>
        <w:rPr>
          <w:b/>
        </w:rPr>
      </w:pPr>
      <w:r w:rsidRPr="00BC4578">
        <w:rPr>
          <w:b/>
        </w:rPr>
        <w:t>Results</w:t>
      </w:r>
    </w:p>
    <w:p w:rsidR="006302AA" w:rsidRPr="00BC4578" w:rsidRDefault="006302AA" w:rsidP="006302AA">
      <w:pPr>
        <w:keepNext/>
        <w:ind w:left="426"/>
        <w:jc w:val="both"/>
      </w:pPr>
      <w:r w:rsidRPr="00BC4578">
        <w:rPr>
          <w:noProof/>
          <w:lang w:val="el-GR" w:eastAsia="el-GR"/>
        </w:rPr>
        <w:lastRenderedPageBreak/>
        <w:drawing>
          <wp:inline distT="0" distB="0" distL="0" distR="0">
            <wp:extent cx="4716000" cy="7454932"/>
            <wp:effectExtent l="19050" t="0" r="840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716000" cy="7454932"/>
                    </a:xfrm>
                    <a:prstGeom prst="rect">
                      <a:avLst/>
                    </a:prstGeom>
                    <a:noFill/>
                    <a:ln w="9525">
                      <a:noFill/>
                      <a:miter lim="800000"/>
                      <a:headEnd/>
                      <a:tailEnd/>
                    </a:ln>
                  </pic:spPr>
                </pic:pic>
              </a:graphicData>
            </a:graphic>
          </wp:inline>
        </w:drawing>
      </w:r>
    </w:p>
    <w:p w:rsidR="006302AA" w:rsidRPr="00BC4578" w:rsidRDefault="006302AA" w:rsidP="006302AA">
      <w:pPr>
        <w:pStyle w:val="a3"/>
        <w:ind w:left="426" w:right="368"/>
        <w:jc w:val="both"/>
        <w:rPr>
          <w:color w:val="auto"/>
          <w:lang w:val="en-US"/>
        </w:rPr>
      </w:pPr>
      <w:r w:rsidRPr="00BC4578">
        <w:rPr>
          <w:color w:val="auto"/>
          <w:lang w:val="en-US"/>
        </w:rPr>
        <w:t>Figure S</w:t>
      </w:r>
      <w:bookmarkStart w:id="0" w:name="_GoBack"/>
      <w:bookmarkEnd w:id="0"/>
      <w:r w:rsidR="008E5BDE" w:rsidRPr="00BC4578">
        <w:rPr>
          <w:color w:val="auto"/>
          <w:lang w:val="en-US"/>
        </w:rPr>
        <w:t>3</w:t>
      </w:r>
      <w:r w:rsidRPr="00BC4578">
        <w:rPr>
          <w:color w:val="auto"/>
          <w:lang w:val="en-US"/>
        </w:rPr>
        <w:t>. Association between area under the curve (AUC) and in the unemotional scale of ICU in (A) ADHD &amp; (B) Controls with negative family history of SUD (FH-; black squares &amp; dashed regression line) &amp; positive family history of SUD (FH+; blue circles &amp; solid regression line)</w:t>
      </w:r>
      <w:r w:rsidR="002B61DF" w:rsidRPr="00BC4578">
        <w:rPr>
          <w:color w:val="auto"/>
          <w:lang w:val="en-US"/>
        </w:rPr>
        <w:t xml:space="preserve">; </w:t>
      </w:r>
      <w:r w:rsidR="00E24EDC" w:rsidRPr="00BC4578">
        <w:rPr>
          <w:color w:val="auto"/>
          <w:lang w:val="en-US"/>
        </w:rPr>
        <w:t>AUCs are before transformation to normality</w:t>
      </w:r>
    </w:p>
    <w:p w:rsidR="00B17570" w:rsidRPr="00BC4578" w:rsidRDefault="00B17570" w:rsidP="00B17570">
      <w:pPr>
        <w:spacing w:after="0"/>
        <w:jc w:val="both"/>
      </w:pPr>
    </w:p>
    <w:p w:rsidR="0077124D" w:rsidRPr="00BC4578" w:rsidRDefault="0077124D" w:rsidP="0077124D">
      <w:pPr>
        <w:spacing w:after="0"/>
        <w:jc w:val="both"/>
        <w:rPr>
          <w:b/>
        </w:rPr>
      </w:pPr>
      <w:r w:rsidRPr="00BC4578">
        <w:rPr>
          <w:b/>
        </w:rPr>
        <w:t>Sensitivity analysis</w:t>
      </w:r>
    </w:p>
    <w:p w:rsidR="0077124D" w:rsidRPr="00BC4578" w:rsidRDefault="0077124D" w:rsidP="0077124D">
      <w:pPr>
        <w:spacing w:after="0"/>
        <w:jc w:val="both"/>
        <w:rPr>
          <w:b/>
        </w:rPr>
      </w:pPr>
    </w:p>
    <w:p w:rsidR="0077124D" w:rsidRPr="00BC4578" w:rsidRDefault="004B4D3D" w:rsidP="0077124D">
      <w:pPr>
        <w:spacing w:after="0"/>
        <w:jc w:val="both"/>
        <w:rPr>
          <w:i/>
        </w:rPr>
      </w:pPr>
      <w:r w:rsidRPr="00BC4578">
        <w:rPr>
          <w:i/>
        </w:rPr>
        <w:t>(</w:t>
      </w:r>
      <w:proofErr w:type="spellStart"/>
      <w:r w:rsidRPr="00BC4578">
        <w:rPr>
          <w:i/>
        </w:rPr>
        <w:t>i</w:t>
      </w:r>
      <w:proofErr w:type="spellEnd"/>
      <w:r w:rsidRPr="00BC4578">
        <w:rPr>
          <w:i/>
        </w:rPr>
        <w:t xml:space="preserve">) </w:t>
      </w:r>
      <w:r w:rsidR="006C17FB" w:rsidRPr="00BC4578">
        <w:rPr>
          <w:i/>
        </w:rPr>
        <w:t>Effects of Family history of SUD</w:t>
      </w:r>
      <w:r w:rsidR="00F96A46" w:rsidRPr="00BC4578">
        <w:rPr>
          <w:i/>
        </w:rPr>
        <w:t xml:space="preserve"> (FH)</w:t>
      </w:r>
    </w:p>
    <w:p w:rsidR="0077124D" w:rsidRPr="00BC4578" w:rsidRDefault="0077124D" w:rsidP="0077124D">
      <w:pPr>
        <w:spacing w:after="0"/>
        <w:jc w:val="both"/>
        <w:rPr>
          <w:i/>
        </w:rPr>
      </w:pPr>
    </w:p>
    <w:p w:rsidR="0077124D" w:rsidRPr="00BC4578" w:rsidRDefault="0077124D" w:rsidP="0077124D">
      <w:pPr>
        <w:spacing w:after="0"/>
        <w:jc w:val="both"/>
      </w:pPr>
      <w:r w:rsidRPr="00BC4578">
        <w:t>Results showed</w:t>
      </w:r>
      <w:r w:rsidR="00374805" w:rsidRPr="00BC4578">
        <w:t xml:space="preserve"> </w:t>
      </w:r>
      <w:r w:rsidR="00EA2FFA" w:rsidRPr="00BC4578">
        <w:t>no main ADHD (p=.144) or FH effects (p=.792) or A</w:t>
      </w:r>
      <w:r w:rsidR="00374805" w:rsidRPr="00BC4578">
        <w:t>DHD*FH interaction effects (p=.</w:t>
      </w:r>
      <w:r w:rsidR="00EA2FFA" w:rsidRPr="00BC4578">
        <w:t xml:space="preserve">1). There were </w:t>
      </w:r>
      <w:r w:rsidRPr="00BC4578">
        <w:t>significant FH*callousness (p=.016) and FH*unemotional interaction effects (p=.038) and trends for ADHD*unemotional (p=.059) and ADHD*FH*unemotional interaction effects (=.099).</w:t>
      </w:r>
      <w:r w:rsidR="00FC6366" w:rsidRPr="00BC4578">
        <w:t xml:space="preserve"> We also found significant main effects for age (p=.041), scan-site (p=.011) and IQ (p=.004).</w:t>
      </w:r>
    </w:p>
    <w:p w:rsidR="00EA2FFA" w:rsidRPr="00BC4578" w:rsidRDefault="00EA2FFA" w:rsidP="0077124D">
      <w:pPr>
        <w:spacing w:after="0"/>
        <w:jc w:val="both"/>
      </w:pPr>
    </w:p>
    <w:p w:rsidR="00EA2FFA" w:rsidRPr="00BC4578" w:rsidRDefault="004B4D3D" w:rsidP="00EA2FFA">
      <w:pPr>
        <w:spacing w:after="0"/>
        <w:jc w:val="both"/>
        <w:rPr>
          <w:i/>
        </w:rPr>
      </w:pPr>
      <w:r w:rsidRPr="00BC4578">
        <w:rPr>
          <w:i/>
        </w:rPr>
        <w:t>(ii)</w:t>
      </w:r>
      <w:r w:rsidR="006C17FB" w:rsidRPr="00BC4578">
        <w:rPr>
          <w:i/>
        </w:rPr>
        <w:t xml:space="preserve"> Effects of substance misuse</w:t>
      </w:r>
      <w:r w:rsidR="00F96A46" w:rsidRPr="00BC4578">
        <w:rPr>
          <w:i/>
        </w:rPr>
        <w:t xml:space="preserve"> (SM)</w:t>
      </w:r>
    </w:p>
    <w:p w:rsidR="00EA2FFA" w:rsidRPr="00BC4578" w:rsidRDefault="00EA2FFA" w:rsidP="00EA2FFA">
      <w:pPr>
        <w:spacing w:after="0"/>
        <w:jc w:val="both"/>
        <w:rPr>
          <w:i/>
        </w:rPr>
      </w:pPr>
    </w:p>
    <w:p w:rsidR="00EA2FFA" w:rsidRPr="00BC4578" w:rsidRDefault="00EA2FFA" w:rsidP="00EA2FFA">
      <w:pPr>
        <w:spacing w:after="0"/>
        <w:jc w:val="both"/>
      </w:pPr>
      <w:r w:rsidRPr="00BC4578">
        <w:t>We found significant group differences (p=.045), with greater discounting for ADHD+SM compared to ADHD-only (p=.041), and significant age effects (p=.008).</w:t>
      </w: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B221E4" w:rsidRPr="00BC4578" w:rsidRDefault="00B221E4" w:rsidP="00EA2FFA">
      <w:pPr>
        <w:spacing w:after="0"/>
        <w:jc w:val="both"/>
      </w:pPr>
    </w:p>
    <w:p w:rsidR="00B221E4" w:rsidRPr="00BC4578" w:rsidRDefault="00B221E4"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pPr>
    </w:p>
    <w:p w:rsidR="000906E5" w:rsidRPr="00BC4578" w:rsidRDefault="000906E5" w:rsidP="00EA2FFA">
      <w:pPr>
        <w:spacing w:after="0"/>
        <w:jc w:val="both"/>
        <w:rPr>
          <w:b/>
        </w:rPr>
      </w:pPr>
      <w:r w:rsidRPr="00BC4578">
        <w:rPr>
          <w:b/>
        </w:rPr>
        <w:lastRenderedPageBreak/>
        <w:t>REFERENCES</w:t>
      </w:r>
    </w:p>
    <w:p w:rsidR="000906E5" w:rsidRPr="00BC4578" w:rsidRDefault="000906E5" w:rsidP="00EA2FFA">
      <w:pPr>
        <w:spacing w:after="0"/>
        <w:jc w:val="both"/>
      </w:pPr>
    </w:p>
    <w:p w:rsidR="000906E5" w:rsidRPr="00BC4578" w:rsidRDefault="003E0586" w:rsidP="000906E5">
      <w:pPr>
        <w:widowControl w:val="0"/>
        <w:autoSpaceDE w:val="0"/>
        <w:autoSpaceDN w:val="0"/>
        <w:adjustRightInd w:val="0"/>
        <w:spacing w:after="0" w:line="240" w:lineRule="auto"/>
        <w:ind w:left="640" w:hanging="640"/>
        <w:jc w:val="both"/>
        <w:rPr>
          <w:rFonts w:ascii="Calibri" w:hAnsi="Calibri" w:cs="Calibri"/>
          <w:noProof/>
          <w:szCs w:val="24"/>
        </w:rPr>
      </w:pPr>
      <w:r w:rsidRPr="00BC4578">
        <w:fldChar w:fldCharType="begin" w:fldLock="1"/>
      </w:r>
      <w:r w:rsidR="000906E5" w:rsidRPr="00BC4578">
        <w:instrText xml:space="preserve">ADDIN Mendeley Bibliography CSL_BIBLIOGRAPHY </w:instrText>
      </w:r>
      <w:r w:rsidRPr="00BC4578">
        <w:fldChar w:fldCharType="separate"/>
      </w:r>
      <w:r w:rsidR="000906E5" w:rsidRPr="00BC4578">
        <w:rPr>
          <w:rFonts w:ascii="Calibri" w:hAnsi="Calibri" w:cs="Calibri"/>
          <w:noProof/>
          <w:szCs w:val="24"/>
        </w:rPr>
        <w:t>1.</w:t>
      </w:r>
      <w:r w:rsidR="000906E5" w:rsidRPr="00BC4578">
        <w:rPr>
          <w:rFonts w:ascii="Calibri" w:hAnsi="Calibri" w:cs="Calibri"/>
          <w:noProof/>
          <w:szCs w:val="24"/>
        </w:rPr>
        <w:tab/>
        <w:t xml:space="preserve">Kaufman, J. </w:t>
      </w:r>
      <w:r w:rsidR="000906E5" w:rsidRPr="00BC4578">
        <w:rPr>
          <w:rFonts w:ascii="Calibri" w:hAnsi="Calibri" w:cs="Calibri"/>
          <w:i/>
          <w:iCs/>
          <w:noProof/>
          <w:szCs w:val="24"/>
        </w:rPr>
        <w:t>et al.</w:t>
      </w:r>
      <w:r w:rsidR="000906E5" w:rsidRPr="00BC4578">
        <w:rPr>
          <w:rFonts w:ascii="Calibri" w:hAnsi="Calibri" w:cs="Calibri"/>
          <w:noProof/>
          <w:szCs w:val="24"/>
        </w:rPr>
        <w:t xml:space="preserve"> Schedule for Affective Disorders and Schizophrenia for School-Age Children-Present and Lifetime Version ( K-SADS-PL ): Initial Reliability and Validity Data. </w:t>
      </w:r>
      <w:r w:rsidR="000906E5" w:rsidRPr="00BC4578">
        <w:rPr>
          <w:rFonts w:ascii="Calibri" w:hAnsi="Calibri" w:cs="Calibri"/>
          <w:i/>
          <w:iCs/>
          <w:noProof/>
          <w:szCs w:val="24"/>
        </w:rPr>
        <w:t>J. Am. Acad. Child Adolesc. Psychiatry</w:t>
      </w:r>
      <w:r w:rsidR="000906E5" w:rsidRPr="00BC4578">
        <w:rPr>
          <w:rFonts w:ascii="Calibri" w:hAnsi="Calibri" w:cs="Calibri"/>
          <w:b/>
          <w:bCs/>
          <w:noProof/>
          <w:szCs w:val="24"/>
        </w:rPr>
        <w:t>36</w:t>
      </w:r>
      <w:r w:rsidR="000906E5" w:rsidRPr="00BC4578">
        <w:rPr>
          <w:rFonts w:ascii="Calibri" w:hAnsi="Calibri" w:cs="Calibri"/>
          <w:noProof/>
          <w:szCs w:val="24"/>
        </w:rPr>
        <w:t>, 980–988 (1997).</w:t>
      </w:r>
    </w:p>
    <w:p w:rsidR="000906E5" w:rsidRPr="00BC4578" w:rsidRDefault="000906E5" w:rsidP="000906E5">
      <w:pPr>
        <w:widowControl w:val="0"/>
        <w:autoSpaceDE w:val="0"/>
        <w:autoSpaceDN w:val="0"/>
        <w:adjustRightInd w:val="0"/>
        <w:spacing w:after="0" w:line="240" w:lineRule="auto"/>
        <w:ind w:left="640" w:hanging="640"/>
        <w:jc w:val="both"/>
        <w:rPr>
          <w:rFonts w:ascii="Calibri" w:hAnsi="Calibri" w:cs="Calibri"/>
          <w:noProof/>
          <w:szCs w:val="24"/>
        </w:rPr>
      </w:pPr>
      <w:r w:rsidRPr="00BC4578">
        <w:rPr>
          <w:rFonts w:ascii="Calibri" w:hAnsi="Calibri" w:cs="Calibri"/>
          <w:noProof/>
          <w:szCs w:val="24"/>
        </w:rPr>
        <w:t>2.</w:t>
      </w:r>
      <w:r w:rsidRPr="00BC4578">
        <w:rPr>
          <w:rFonts w:ascii="Calibri" w:hAnsi="Calibri" w:cs="Calibri"/>
          <w:noProof/>
          <w:szCs w:val="24"/>
        </w:rPr>
        <w:tab/>
        <w:t xml:space="preserve">Conners, C. K., Sitarenios, G., Parker, J. D. A. &amp; Epstein, J. N. Revision and Restandardization of the Conners Teacher Rating Scale ( CTRS-R ): Factor Structure , Reliability , and Criterion Validity. </w:t>
      </w:r>
      <w:r w:rsidRPr="00BC4578">
        <w:rPr>
          <w:rFonts w:ascii="Calibri" w:hAnsi="Calibri" w:cs="Calibri"/>
          <w:b/>
          <w:bCs/>
          <w:noProof/>
          <w:szCs w:val="24"/>
        </w:rPr>
        <w:t>26</w:t>
      </w:r>
      <w:r w:rsidRPr="00BC4578">
        <w:rPr>
          <w:rFonts w:ascii="Calibri" w:hAnsi="Calibri" w:cs="Calibri"/>
          <w:noProof/>
          <w:szCs w:val="24"/>
        </w:rPr>
        <w:t>, 279–291 (1998).</w:t>
      </w:r>
    </w:p>
    <w:p w:rsidR="000906E5" w:rsidRPr="00BC4578" w:rsidRDefault="000906E5" w:rsidP="000906E5">
      <w:pPr>
        <w:widowControl w:val="0"/>
        <w:autoSpaceDE w:val="0"/>
        <w:autoSpaceDN w:val="0"/>
        <w:adjustRightInd w:val="0"/>
        <w:spacing w:after="0" w:line="240" w:lineRule="auto"/>
        <w:ind w:left="640" w:hanging="640"/>
        <w:jc w:val="both"/>
        <w:rPr>
          <w:rFonts w:ascii="Calibri" w:hAnsi="Calibri" w:cs="Calibri"/>
          <w:noProof/>
          <w:szCs w:val="24"/>
        </w:rPr>
      </w:pPr>
      <w:r w:rsidRPr="00BC4578">
        <w:rPr>
          <w:rFonts w:ascii="Calibri" w:hAnsi="Calibri" w:cs="Calibri"/>
          <w:noProof/>
          <w:szCs w:val="24"/>
        </w:rPr>
        <w:t>3.</w:t>
      </w:r>
      <w:r w:rsidRPr="00BC4578">
        <w:rPr>
          <w:rFonts w:ascii="Calibri" w:hAnsi="Calibri" w:cs="Calibri"/>
          <w:noProof/>
          <w:szCs w:val="24"/>
        </w:rPr>
        <w:tab/>
        <w:t xml:space="preserve">Conners, C. K., Erhardt, D., Epstein, J. N., Parker, J. D. A., Sitarenios, G., &amp; Sparrow, E. Self-ratings of ADHD symptoms in adults I: Factor structure and normative data. </w:t>
      </w:r>
      <w:r w:rsidRPr="00BC4578">
        <w:rPr>
          <w:rFonts w:ascii="Calibri" w:hAnsi="Calibri" w:cs="Calibri"/>
          <w:b/>
          <w:bCs/>
          <w:noProof/>
          <w:szCs w:val="24"/>
        </w:rPr>
        <w:t>3</w:t>
      </w:r>
      <w:r w:rsidRPr="00BC4578">
        <w:rPr>
          <w:rFonts w:ascii="Calibri" w:hAnsi="Calibri" w:cs="Calibri"/>
          <w:noProof/>
          <w:szCs w:val="24"/>
        </w:rPr>
        <w:t>, 141–151 (1999).</w:t>
      </w:r>
    </w:p>
    <w:p w:rsidR="000906E5" w:rsidRPr="00BC4578" w:rsidRDefault="000906E5" w:rsidP="000906E5">
      <w:pPr>
        <w:widowControl w:val="0"/>
        <w:autoSpaceDE w:val="0"/>
        <w:autoSpaceDN w:val="0"/>
        <w:adjustRightInd w:val="0"/>
        <w:spacing w:after="0" w:line="240" w:lineRule="auto"/>
        <w:ind w:left="640" w:hanging="640"/>
        <w:jc w:val="both"/>
        <w:rPr>
          <w:rFonts w:ascii="Calibri" w:hAnsi="Calibri" w:cs="Calibri"/>
          <w:noProof/>
          <w:szCs w:val="24"/>
        </w:rPr>
      </w:pPr>
      <w:r w:rsidRPr="00BC4578">
        <w:rPr>
          <w:rFonts w:ascii="Calibri" w:hAnsi="Calibri" w:cs="Calibri"/>
          <w:noProof/>
          <w:szCs w:val="24"/>
        </w:rPr>
        <w:t>4.</w:t>
      </w:r>
      <w:r w:rsidRPr="00BC4578">
        <w:rPr>
          <w:rFonts w:ascii="Calibri" w:hAnsi="Calibri" w:cs="Calibri"/>
          <w:noProof/>
          <w:szCs w:val="24"/>
        </w:rPr>
        <w:tab/>
        <w:t xml:space="preserve">Mies, G. W., Ma, I., de Water, E., Buitelaar, J. K. &amp; Scheres, A. Waiting and working for rewards: Attention-Deficit/Hyperactivity Disorder is associated with steeper delay discounting linked to amygdala activation, but not with steeper effort discounting. </w:t>
      </w:r>
      <w:r w:rsidRPr="00BC4578">
        <w:rPr>
          <w:rFonts w:ascii="Calibri" w:hAnsi="Calibri" w:cs="Calibri"/>
          <w:i/>
          <w:iCs/>
          <w:noProof/>
          <w:szCs w:val="24"/>
        </w:rPr>
        <w:t>Cortex</w:t>
      </w:r>
      <w:r w:rsidRPr="00BC4578">
        <w:rPr>
          <w:rFonts w:ascii="Calibri" w:hAnsi="Calibri" w:cs="Calibri"/>
          <w:b/>
          <w:bCs/>
          <w:noProof/>
          <w:szCs w:val="24"/>
        </w:rPr>
        <w:t>106</w:t>
      </w:r>
      <w:r w:rsidRPr="00BC4578">
        <w:rPr>
          <w:rFonts w:ascii="Calibri" w:hAnsi="Calibri" w:cs="Calibri"/>
          <w:noProof/>
          <w:szCs w:val="24"/>
        </w:rPr>
        <w:t>, 164–173 (2018).</w:t>
      </w:r>
    </w:p>
    <w:p w:rsidR="000906E5" w:rsidRPr="00BC4578" w:rsidRDefault="000906E5" w:rsidP="000906E5">
      <w:pPr>
        <w:widowControl w:val="0"/>
        <w:autoSpaceDE w:val="0"/>
        <w:autoSpaceDN w:val="0"/>
        <w:adjustRightInd w:val="0"/>
        <w:spacing w:after="0" w:line="240" w:lineRule="auto"/>
        <w:ind w:left="640" w:hanging="640"/>
        <w:jc w:val="both"/>
        <w:rPr>
          <w:rFonts w:ascii="Calibri" w:hAnsi="Calibri" w:cs="Calibri"/>
          <w:noProof/>
        </w:rPr>
      </w:pPr>
      <w:r w:rsidRPr="00BC4578">
        <w:rPr>
          <w:rFonts w:ascii="Calibri" w:hAnsi="Calibri" w:cs="Calibri"/>
          <w:noProof/>
          <w:szCs w:val="24"/>
        </w:rPr>
        <w:t>5.</w:t>
      </w:r>
      <w:r w:rsidRPr="00BC4578">
        <w:rPr>
          <w:rFonts w:ascii="Calibri" w:hAnsi="Calibri" w:cs="Calibri"/>
          <w:noProof/>
          <w:szCs w:val="24"/>
        </w:rPr>
        <w:tab/>
        <w:t xml:space="preserve">Scheres, A., Tontsch, C., Thoeny, A. L. &amp; Sumiya, M. Temporal reward discounting in children, adolescents, and emerging adults during an experiential task. </w:t>
      </w:r>
      <w:r w:rsidRPr="00BC4578">
        <w:rPr>
          <w:rFonts w:ascii="Calibri" w:hAnsi="Calibri" w:cs="Calibri"/>
          <w:i/>
          <w:iCs/>
          <w:noProof/>
          <w:szCs w:val="24"/>
        </w:rPr>
        <w:t>Front. Psychol.</w:t>
      </w:r>
      <w:r w:rsidRPr="00BC4578">
        <w:rPr>
          <w:rFonts w:ascii="Calibri" w:hAnsi="Calibri" w:cs="Calibri"/>
          <w:b/>
          <w:bCs/>
          <w:noProof/>
          <w:szCs w:val="24"/>
        </w:rPr>
        <w:t>5</w:t>
      </w:r>
      <w:r w:rsidRPr="00BC4578">
        <w:rPr>
          <w:rFonts w:ascii="Calibri" w:hAnsi="Calibri" w:cs="Calibri"/>
          <w:noProof/>
          <w:szCs w:val="24"/>
        </w:rPr>
        <w:t>, 1–7 (2014).</w:t>
      </w:r>
    </w:p>
    <w:p w:rsidR="000906E5" w:rsidRPr="00BC4578" w:rsidRDefault="003E0586" w:rsidP="000906E5">
      <w:pPr>
        <w:spacing w:after="0"/>
        <w:jc w:val="both"/>
      </w:pPr>
      <w:r w:rsidRPr="00BC4578">
        <w:fldChar w:fldCharType="end"/>
      </w:r>
    </w:p>
    <w:sectPr w:rsidR="000906E5" w:rsidRPr="00BC4578" w:rsidSect="005D2437">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570"/>
    <w:rsid w:val="00041C92"/>
    <w:rsid w:val="000906E5"/>
    <w:rsid w:val="00110D9F"/>
    <w:rsid w:val="00133B87"/>
    <w:rsid w:val="00196911"/>
    <w:rsid w:val="002028A6"/>
    <w:rsid w:val="00207AFC"/>
    <w:rsid w:val="0022320B"/>
    <w:rsid w:val="00234738"/>
    <w:rsid w:val="002B61DF"/>
    <w:rsid w:val="00374805"/>
    <w:rsid w:val="003954AF"/>
    <w:rsid w:val="003A07A3"/>
    <w:rsid w:val="003B4455"/>
    <w:rsid w:val="003E0586"/>
    <w:rsid w:val="00425173"/>
    <w:rsid w:val="004A47F7"/>
    <w:rsid w:val="004B4D3D"/>
    <w:rsid w:val="004C2092"/>
    <w:rsid w:val="004D31F8"/>
    <w:rsid w:val="00517538"/>
    <w:rsid w:val="005D2437"/>
    <w:rsid w:val="005D665C"/>
    <w:rsid w:val="006302AA"/>
    <w:rsid w:val="006802FF"/>
    <w:rsid w:val="00696F03"/>
    <w:rsid w:val="006C17FB"/>
    <w:rsid w:val="006C3A00"/>
    <w:rsid w:val="007356D2"/>
    <w:rsid w:val="00736488"/>
    <w:rsid w:val="00742616"/>
    <w:rsid w:val="0077124D"/>
    <w:rsid w:val="0086404F"/>
    <w:rsid w:val="00881CBD"/>
    <w:rsid w:val="00893268"/>
    <w:rsid w:val="00897388"/>
    <w:rsid w:val="008E5BDE"/>
    <w:rsid w:val="00902608"/>
    <w:rsid w:val="00965DD9"/>
    <w:rsid w:val="009A21CB"/>
    <w:rsid w:val="00A00C70"/>
    <w:rsid w:val="00A32CB5"/>
    <w:rsid w:val="00A37AA9"/>
    <w:rsid w:val="00B02BA3"/>
    <w:rsid w:val="00B17570"/>
    <w:rsid w:val="00B221E4"/>
    <w:rsid w:val="00BC4578"/>
    <w:rsid w:val="00CA63D3"/>
    <w:rsid w:val="00CE68AC"/>
    <w:rsid w:val="00DF6F3E"/>
    <w:rsid w:val="00E21082"/>
    <w:rsid w:val="00E24EDC"/>
    <w:rsid w:val="00E60916"/>
    <w:rsid w:val="00E71A19"/>
    <w:rsid w:val="00EA2FFA"/>
    <w:rsid w:val="00F214A0"/>
    <w:rsid w:val="00F41490"/>
    <w:rsid w:val="00F96A46"/>
    <w:rsid w:val="00FC63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302AA"/>
    <w:pPr>
      <w:spacing w:after="200" w:line="240" w:lineRule="auto"/>
    </w:pPr>
    <w:rPr>
      <w:b/>
      <w:bCs/>
      <w:color w:val="5B9BD5" w:themeColor="accent1"/>
      <w:sz w:val="18"/>
      <w:szCs w:val="18"/>
      <w:lang w:val="el-GR"/>
    </w:rPr>
  </w:style>
  <w:style w:type="paragraph" w:styleId="a4">
    <w:name w:val="Balloon Text"/>
    <w:basedOn w:val="a"/>
    <w:link w:val="Char"/>
    <w:uiPriority w:val="99"/>
    <w:semiHidden/>
    <w:unhideWhenUsed/>
    <w:rsid w:val="00F214A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21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dwarehouse.com/shopsite_sc/store/html/conners-teacher-rating-scales-ctrs-r-l.html" TargetMode="External"/><Relationship Id="rId11" Type="http://schemas.openxmlformats.org/officeDocument/2006/relationships/theme" Target="theme/theme1.xml"/><Relationship Id="rId5" Type="http://schemas.openxmlformats.org/officeDocument/2006/relationships/hyperlink" Target="http://addwarehouse.com/shopsite_sc/store/html/conners-parent-rating-scales-cprs-r-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8FB7-550F-475D-8BF5-90D926AB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11901</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Donders Institute</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Paraskevopoulou</dc:creator>
  <cp:lastModifiedBy>Mara</cp:lastModifiedBy>
  <cp:revision>3</cp:revision>
  <dcterms:created xsi:type="dcterms:W3CDTF">2020-05-19T10:17:00Z</dcterms:created>
  <dcterms:modified xsi:type="dcterms:W3CDTF">2020-05-19T10:17:00Z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b858064c-c58e-3079-8cd2-96defffdd3ef</vt:lpwstr>
  </property>
  <property fmtid="{D5CDD505-2E9C-101B-9397-08002B2CF9AE}" pid="24" name="Mendeley Citation Style_1">
    <vt:lpwstr>http://www.zotero.org/styles/nature</vt:lpwstr>
  </property>
</Properties>
</file>