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Times New Roman" w:hAnsi="Times New Roman" w:cs="Times New Roman"/>
          <w:sz w:val="15"/>
          <w:szCs w:val="15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2B2A29"/>
          <w:sz w:val="21"/>
          <w:szCs w:val="21"/>
          <w:lang w:val="en-US" w:eastAsia="zh-CN"/>
        </w:rPr>
        <w:t>Figure1.</w:t>
      </w:r>
      <w:r>
        <w:rPr>
          <w:rFonts w:hint="eastAsia" w:ascii="Times New Roman" w:hAnsi="Times New Roman" w:eastAsia="AdvGulliv-F" w:cs="Times New Roman"/>
          <w:b w:val="0"/>
          <w:bCs w:val="0"/>
          <w:color w:val="000000"/>
          <w:kern w:val="0"/>
          <w:sz w:val="15"/>
          <w:szCs w:val="15"/>
          <w:lang w:val="en-US" w:eastAsia="zh-CN" w:bidi="ar"/>
        </w:rPr>
        <w:t xml:space="preserve">Subgroup analysis of </w:t>
      </w:r>
      <w:r>
        <w:rPr>
          <w:rFonts w:hint="default" w:ascii="Times New Roman" w:hAnsi="Times New Roman" w:eastAsia="AdvGulliv-F" w:cs="Times New Roman"/>
          <w:b w:val="0"/>
          <w:bCs w:val="0"/>
          <w:color w:val="000000"/>
          <w:kern w:val="0"/>
          <w:sz w:val="15"/>
          <w:szCs w:val="15"/>
          <w:lang w:val="en-US" w:eastAsia="zh-CN" w:bidi="ar"/>
        </w:rPr>
        <w:t>recanalization</w:t>
      </w:r>
      <w:r>
        <w:rPr>
          <w:rFonts w:hint="eastAsia" w:ascii="Times New Roman" w:hAnsi="Times New Roman" w:eastAsia="AdvGulliv-F" w:cs="Times New Roman"/>
          <w:b w:val="0"/>
          <w:bCs w:val="0"/>
          <w:color w:val="000000"/>
          <w:kern w:val="0"/>
          <w:sz w:val="15"/>
          <w:szCs w:val="15"/>
          <w:lang w:val="en-US" w:eastAsia="zh-CN" w:bidi="ar"/>
        </w:rPr>
        <w:t xml:space="preserve"> rate in patients with and without tirofiban.Pre-operative tirofiban subgroup and Rescue tirofiban subgroup.</w:t>
      </w:r>
      <w:r>
        <w:rPr>
          <w:rFonts w:hint="eastAsia" w:ascii="Times New Roman" w:hAnsi="Times New Roman" w:cs="Times New Roman"/>
          <w:sz w:val="15"/>
          <w:szCs w:val="15"/>
          <w:lang w:val="en-US" w:eastAsia="zh-CN"/>
        </w:rPr>
        <w:t>M-H Fixed:</w:t>
      </w:r>
      <w:r>
        <w:rPr>
          <w:rFonts w:hint="default" w:ascii="Times New Roman" w:hAnsi="Times New Roman" w:cs="Times New Roman"/>
          <w:sz w:val="15"/>
          <w:szCs w:val="15"/>
          <w:lang w:val="en-US" w:eastAsia="zh-CN"/>
        </w:rPr>
        <w:t>Mantel–Haenszel method</w:t>
      </w:r>
      <w:r>
        <w:rPr>
          <w:rFonts w:hint="eastAsia" w:ascii="Times New Roman" w:hAnsi="Times New Roman" w:cs="Times New Roman"/>
          <w:sz w:val="15"/>
          <w:szCs w:val="15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15"/>
          <w:szCs w:val="15"/>
          <w:lang w:val="en-US" w:eastAsia="zh-CN"/>
        </w:rPr>
        <w:t>fixed effects model</w:t>
      </w:r>
      <w:r>
        <w:rPr>
          <w:rFonts w:hint="eastAsia" w:ascii="Times New Roman" w:hAnsi="Times New Roman" w:cs="Times New Roman"/>
          <w:sz w:val="15"/>
          <w:szCs w:val="15"/>
          <w:lang w:val="en-US" w:eastAsia="zh-CN"/>
        </w:rPr>
        <w:t>.</w:t>
      </w:r>
    </w:p>
    <w:p>
      <w:pPr>
        <w:bidi w:val="0"/>
        <w:jc w:val="both"/>
        <w:rPr>
          <w:rFonts w:hint="default" w:ascii="Times New Roman" w:hAnsi="Times New Roman" w:cs="Times New Roman"/>
          <w:sz w:val="15"/>
          <w:szCs w:val="15"/>
          <w:lang w:val="en-US" w:eastAsia="zh-CN"/>
        </w:rPr>
      </w:pPr>
    </w:p>
    <w:p>
      <w:pPr>
        <w:bidi w:val="0"/>
        <w:jc w:val="both"/>
        <w:rPr>
          <w:rFonts w:hint="eastAsia" w:ascii="Times New Roman" w:hAnsi="Times New Roman" w:cs="Times New Roman"/>
          <w:sz w:val="15"/>
          <w:szCs w:val="15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2B2A29"/>
          <w:sz w:val="21"/>
          <w:szCs w:val="21"/>
          <w:lang w:val="en-US" w:eastAsia="zh-CN"/>
        </w:rPr>
        <w:t>Figure2.</w:t>
      </w:r>
      <w:r>
        <w:rPr>
          <w:rFonts w:hint="eastAsia" w:ascii="Times New Roman" w:hAnsi="Times New Roman" w:eastAsia="AdvGulliv-F" w:cs="Times New Roman"/>
          <w:b w:val="0"/>
          <w:bCs w:val="0"/>
          <w:color w:val="000000"/>
          <w:kern w:val="0"/>
          <w:sz w:val="15"/>
          <w:szCs w:val="15"/>
          <w:lang w:val="en-US" w:eastAsia="zh-CN" w:bidi="ar"/>
        </w:rPr>
        <w:t xml:space="preserve">Subgroup analysis of </w:t>
      </w:r>
      <w:r>
        <w:rPr>
          <w:rFonts w:hint="default" w:ascii="Times New Roman" w:hAnsi="Times New Roman" w:eastAsia="AdvGulliv-F" w:cs="Times New Roman"/>
          <w:b w:val="0"/>
          <w:bCs w:val="0"/>
          <w:color w:val="000000"/>
          <w:kern w:val="0"/>
          <w:sz w:val="15"/>
          <w:szCs w:val="15"/>
          <w:lang w:val="en-US" w:eastAsia="zh-CN" w:bidi="ar"/>
        </w:rPr>
        <w:t>favorable functional outcome</w:t>
      </w:r>
      <w:r>
        <w:rPr>
          <w:rFonts w:hint="eastAsia" w:ascii="Times New Roman" w:hAnsi="Times New Roman" w:eastAsia="AdvGulliv-F" w:cs="Times New Roman"/>
          <w:b w:val="0"/>
          <w:bCs w:val="0"/>
          <w:color w:val="000000"/>
          <w:kern w:val="0"/>
          <w:sz w:val="15"/>
          <w:szCs w:val="15"/>
          <w:lang w:val="en-US" w:eastAsia="zh-CN" w:bidi="ar"/>
        </w:rPr>
        <w:t xml:space="preserve"> in patients with and without tirofiban.Pre-operative tirofiban subgroup and Rescue tirofiban subgroup.</w:t>
      </w:r>
      <w:r>
        <w:rPr>
          <w:rFonts w:hint="eastAsia" w:ascii="Times New Roman" w:hAnsi="Times New Roman" w:cs="Times New Roman"/>
          <w:sz w:val="15"/>
          <w:szCs w:val="15"/>
          <w:lang w:val="en-US" w:eastAsia="zh-CN"/>
        </w:rPr>
        <w:t>M-H Fixed:</w:t>
      </w:r>
      <w:r>
        <w:rPr>
          <w:rFonts w:hint="default" w:ascii="Times New Roman" w:hAnsi="Times New Roman" w:cs="Times New Roman"/>
          <w:sz w:val="15"/>
          <w:szCs w:val="15"/>
          <w:lang w:val="en-US" w:eastAsia="zh-CN"/>
        </w:rPr>
        <w:t>Mantel–Haenszel method</w:t>
      </w:r>
      <w:r>
        <w:rPr>
          <w:rFonts w:hint="eastAsia" w:ascii="Times New Roman" w:hAnsi="Times New Roman" w:cs="Times New Roman"/>
          <w:sz w:val="15"/>
          <w:szCs w:val="15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15"/>
          <w:szCs w:val="15"/>
          <w:lang w:val="en-US" w:eastAsia="zh-CN"/>
        </w:rPr>
        <w:t>fixed effects model</w:t>
      </w:r>
      <w:r>
        <w:rPr>
          <w:rFonts w:hint="eastAsia" w:ascii="Times New Roman" w:hAnsi="Times New Roman" w:cs="Times New Roman"/>
          <w:sz w:val="15"/>
          <w:szCs w:val="15"/>
          <w:lang w:val="en-US" w:eastAsia="zh-CN"/>
        </w:rPr>
        <w:t>.</w:t>
      </w:r>
    </w:p>
    <w:p>
      <w:pPr>
        <w:bidi w:val="0"/>
        <w:jc w:val="both"/>
        <w:rPr>
          <w:rFonts w:hint="default" w:ascii="Times New Roman" w:hAnsi="Times New Roman" w:cs="Times New Roman"/>
          <w:sz w:val="15"/>
          <w:szCs w:val="15"/>
          <w:lang w:val="en-US" w:eastAsia="zh-CN"/>
        </w:rPr>
      </w:pPr>
    </w:p>
    <w:p>
      <w:pPr>
        <w:bidi w:val="0"/>
        <w:jc w:val="both"/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vertAlign w:val="baseline"/>
          <w:lang w:val="en-US" w:eastAsia="zh-CN" w:bidi="en-US"/>
        </w:rPr>
      </w:pPr>
      <w:r>
        <w:rPr>
          <w:rFonts w:hint="eastAsia" w:ascii="Times New Roman" w:hAnsi="Times New Roman" w:cs="Times New Roman"/>
          <w:b/>
          <w:bCs/>
          <w:color w:val="2B2A29"/>
          <w:sz w:val="21"/>
          <w:szCs w:val="21"/>
          <w:lang w:val="en-US" w:eastAsia="zh-CN"/>
        </w:rPr>
        <w:t>Figure3.</w:t>
      </w:r>
      <w:r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Sensitivity analysis for safety outcomes and efficacy outcomes.sICH;Mortality;Recanalization rate;Favorable functional outcome.Zhang 2019:</w:t>
      </w:r>
      <w:r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excluding the study with largest sample size</w:t>
      </w:r>
      <w:r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vertAlign w:val="superscript"/>
          <w:lang w:val="en-US" w:eastAsia="zh-CN" w:bidi="en-US"/>
        </w:rPr>
        <w:t>[</w:t>
      </w:r>
      <w:r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vertAlign w:val="superscript"/>
          <w:lang w:val="en-US" w:eastAsia="zh-CN" w:bidi="en-US"/>
        </w:rPr>
        <w:t>19</w:t>
      </w:r>
      <w:r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vertAlign w:val="superscript"/>
          <w:lang w:val="en-US" w:eastAsia="zh-CN" w:bidi="en-US"/>
        </w:rPr>
        <w:t>]</w:t>
      </w:r>
      <w:r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,</w:t>
      </w:r>
      <w:r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Gruber 2018:</w:t>
      </w:r>
      <w:r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excluding the study with smallest sample size</w:t>
      </w:r>
      <w:r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vertAlign w:val="superscript"/>
          <w:lang w:val="en-US" w:eastAsia="zh-CN" w:bidi="en-US"/>
        </w:rPr>
        <w:t>[1</w:t>
      </w:r>
      <w:r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vertAlign w:val="superscript"/>
          <w:lang w:val="en-US" w:eastAsia="zh-CN" w:bidi="en-US"/>
        </w:rPr>
        <w:t>0</w:t>
      </w:r>
      <w:r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vertAlign w:val="superscript"/>
          <w:lang w:val="en-US" w:eastAsia="zh-CN" w:bidi="en-US"/>
        </w:rPr>
        <w:t>]</w:t>
      </w:r>
      <w:r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 xml:space="preserve">, </w:t>
      </w:r>
      <w:r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Wu 2018:</w:t>
      </w:r>
      <w:r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excluding the only one study indicated signifificant difference in sICH</w:t>
      </w:r>
      <w:r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vertAlign w:val="superscript"/>
          <w:lang w:val="en-US" w:eastAsia="zh-CN" w:bidi="en-US"/>
        </w:rPr>
        <w:t>[</w:t>
      </w:r>
      <w:r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vertAlign w:val="superscript"/>
          <w:lang w:val="en-US" w:eastAsia="zh-CN" w:bidi="en-US"/>
        </w:rPr>
        <w:t>17</w:t>
      </w:r>
      <w:r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vertAlign w:val="superscript"/>
          <w:lang w:val="en-US" w:eastAsia="zh-CN" w:bidi="en-US"/>
        </w:rPr>
        <w:t>]</w:t>
      </w:r>
      <w:r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 xml:space="preserve"> and </w:t>
      </w:r>
      <w:r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Lee 2017:</w:t>
      </w:r>
      <w:r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excluding one study indicated significant difference in recanalization rate</w:t>
      </w:r>
      <w:r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vertAlign w:val="superscript"/>
          <w:lang w:val="en-US" w:eastAsia="zh-CN" w:bidi="en-US"/>
        </w:rPr>
        <w:t>[</w:t>
      </w:r>
      <w:r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vertAlign w:val="superscript"/>
          <w:lang w:val="en-US" w:eastAsia="zh-CN" w:bidi="en-US"/>
        </w:rPr>
        <w:t>14</w:t>
      </w:r>
      <w:r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vertAlign w:val="superscript"/>
          <w:lang w:val="en-US" w:eastAsia="zh-CN" w:bidi="en-US"/>
        </w:rPr>
        <w:t>]</w:t>
      </w:r>
      <w:r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vertAlign w:val="baseline"/>
          <w:lang w:val="en-US" w:eastAsia="zh-CN" w:bidi="en-US"/>
        </w:rPr>
        <w:t>.</w:t>
      </w:r>
    </w:p>
    <w:p>
      <w:pPr>
        <w:bidi w:val="0"/>
        <w:jc w:val="both"/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vertAlign w:val="baseline"/>
          <w:lang w:val="en-US" w:eastAsia="zh-CN" w:bidi="en-US"/>
        </w:rPr>
      </w:pPr>
    </w:p>
    <w:p>
      <w:pPr>
        <w:bidi w:val="0"/>
        <w:jc w:val="both"/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</w:pPr>
      <w:r>
        <w:rPr>
          <w:rFonts w:hint="eastAsia" w:ascii="Times New Roman" w:hAnsi="Times New Roman" w:cs="Times New Roman"/>
          <w:b/>
          <w:bCs/>
          <w:color w:val="2B2A29"/>
          <w:sz w:val="21"/>
          <w:szCs w:val="21"/>
          <w:lang w:val="en-US" w:eastAsia="zh-CN"/>
        </w:rPr>
        <w:t>Figure4.</w:t>
      </w:r>
      <w:r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Funnel plot of sICH in AIS patients with endovascular treatment.sICH: symptomatic intracerebral hemorrhage.AIS:</w:t>
      </w:r>
      <w:r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acute ischemic stroke</w:t>
      </w:r>
      <w:r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 xml:space="preserve">.P: p value of </w:t>
      </w:r>
      <w:r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Begg’s test</w:t>
      </w:r>
      <w:r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.</w:t>
      </w:r>
    </w:p>
    <w:p>
      <w:pPr>
        <w:bidi w:val="0"/>
        <w:jc w:val="both"/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</w:pPr>
    </w:p>
    <w:p>
      <w:pPr>
        <w:bidi w:val="0"/>
        <w:jc w:val="both"/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</w:pPr>
      <w:r>
        <w:rPr>
          <w:rFonts w:hint="eastAsia" w:ascii="Times New Roman" w:hAnsi="Times New Roman" w:cs="Times New Roman"/>
          <w:b/>
          <w:bCs/>
          <w:color w:val="2B2A29"/>
          <w:sz w:val="21"/>
          <w:szCs w:val="21"/>
          <w:lang w:val="en-US" w:eastAsia="zh-CN"/>
        </w:rPr>
        <w:t>Figure5.</w:t>
      </w:r>
      <w:r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Funnel plot of mortality in AIS patients with endovascular treatment.AIS:</w:t>
      </w:r>
      <w:r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acute ischemic stroke</w:t>
      </w:r>
      <w:r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 xml:space="preserve">.P: p value of </w:t>
      </w:r>
      <w:r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Begg’s test</w:t>
      </w:r>
      <w:r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.</w:t>
      </w:r>
    </w:p>
    <w:p>
      <w:pPr>
        <w:bidi w:val="0"/>
        <w:jc w:val="both"/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</w:pPr>
    </w:p>
    <w:p>
      <w:pPr>
        <w:bidi w:val="0"/>
        <w:jc w:val="both"/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</w:pPr>
      <w:r>
        <w:rPr>
          <w:rFonts w:hint="eastAsia" w:ascii="Times New Roman" w:hAnsi="Times New Roman" w:cs="Times New Roman"/>
          <w:b/>
          <w:bCs/>
          <w:color w:val="2B2A29"/>
          <w:sz w:val="21"/>
          <w:szCs w:val="21"/>
          <w:lang w:val="en-US" w:eastAsia="zh-CN"/>
        </w:rPr>
        <w:t>Figure6.</w:t>
      </w:r>
      <w:r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Funnel plot of recanalization rate in AIS patients with endovascular treatment.AIS:</w:t>
      </w:r>
      <w:r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acute ischemic stroke</w:t>
      </w:r>
      <w:r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 xml:space="preserve">.P: p value of </w:t>
      </w:r>
      <w:r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Begg’s test</w:t>
      </w:r>
      <w:r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.</w:t>
      </w:r>
    </w:p>
    <w:p>
      <w:pPr>
        <w:bidi w:val="0"/>
        <w:jc w:val="both"/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</w:pPr>
    </w:p>
    <w:p>
      <w:pPr>
        <w:bidi w:val="0"/>
        <w:jc w:val="both"/>
        <w:rPr>
          <w:rFonts w:hint="default" w:ascii="Times New Roman" w:hAnsi="Times New Roman" w:cs="Times New Roman"/>
          <w:b/>
          <w:bCs/>
          <w:color w:val="2B2A29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2B2A29"/>
          <w:sz w:val="21"/>
          <w:szCs w:val="21"/>
          <w:lang w:val="en-US" w:eastAsia="zh-CN"/>
        </w:rPr>
        <w:t>Figure7.</w:t>
      </w:r>
      <w:r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Funnel plot of favorable functional outcome in AIS patients with endovascular treatment.favorable functional outcome:defined as a modified Rankin Scale (mRS) of 0–2 at 3-month follow-up.AIS:</w:t>
      </w:r>
      <w:r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acute ischemic stroke</w:t>
      </w:r>
      <w:r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 xml:space="preserve">.P: p value of </w:t>
      </w:r>
      <w:r>
        <w:rPr>
          <w:rFonts w:hint="default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Begg’s test</w:t>
      </w:r>
      <w:r>
        <w:rPr>
          <w:rFonts w:hint="eastAsia" w:ascii="Times New Roman" w:hAnsi="Times New Roman" w:eastAsia="Times New Roman" w:cs="Times New Roman"/>
          <w:color w:val="2B2A29"/>
          <w:w w:val="105"/>
          <w:kern w:val="2"/>
          <w:sz w:val="16"/>
          <w:szCs w:val="16"/>
          <w:lang w:val="en-US" w:eastAsia="zh-CN" w:bidi="en-US"/>
        </w:rPr>
        <w:t>.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dvGulliv-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E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志勇</cp:lastModifiedBy>
  <dcterms:modified xsi:type="dcterms:W3CDTF">2020-04-15T14:12:50Z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