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5B66" w14:textId="0A84A5EC" w:rsidR="0017452B" w:rsidRDefault="0017452B" w:rsidP="0017452B">
      <w:pPr>
        <w:spacing w:after="0" w:line="360" w:lineRule="auto"/>
        <w:rPr>
          <w:rFonts w:asciiTheme="majorBidi" w:hAnsiTheme="majorBidi" w:cstheme="majorBidi"/>
          <w:b/>
          <w:bCs/>
          <w:sz w:val="24"/>
          <w:szCs w:val="24"/>
        </w:rPr>
      </w:pPr>
      <w:r w:rsidRPr="00E05A6F">
        <w:rPr>
          <w:rFonts w:asciiTheme="majorBidi" w:hAnsiTheme="majorBidi" w:cstheme="majorBidi"/>
          <w:b/>
          <w:bCs/>
          <w:sz w:val="24"/>
          <w:szCs w:val="24"/>
        </w:rPr>
        <w:t>M</w:t>
      </w:r>
      <w:r w:rsidR="00C404BC" w:rsidRPr="00E05A6F">
        <w:rPr>
          <w:rFonts w:asciiTheme="majorBidi" w:hAnsiTheme="majorBidi" w:cstheme="majorBidi"/>
          <w:b/>
          <w:bCs/>
          <w:sz w:val="24"/>
          <w:szCs w:val="24"/>
        </w:rPr>
        <w:t>ethods</w:t>
      </w:r>
    </w:p>
    <w:p w14:paraId="78883710" w14:textId="77777777" w:rsidR="0017452B" w:rsidRPr="00C404BC" w:rsidRDefault="0017452B" w:rsidP="0017452B">
      <w:pPr>
        <w:spacing w:after="0" w:line="360" w:lineRule="auto"/>
        <w:rPr>
          <w:rFonts w:asciiTheme="majorBidi" w:hAnsiTheme="majorBidi" w:cstheme="majorBidi"/>
          <w:i/>
          <w:iCs/>
          <w:sz w:val="24"/>
          <w:szCs w:val="24"/>
        </w:rPr>
      </w:pPr>
      <w:r w:rsidRPr="00C404BC">
        <w:rPr>
          <w:rFonts w:asciiTheme="majorBidi" w:hAnsiTheme="majorBidi" w:cstheme="majorBidi"/>
          <w:i/>
          <w:iCs/>
          <w:sz w:val="24"/>
          <w:szCs w:val="24"/>
        </w:rPr>
        <w:t xml:space="preserve">Patients </w:t>
      </w:r>
    </w:p>
    <w:p w14:paraId="1CB546F1" w14:textId="65068E09" w:rsidR="0017452B" w:rsidRDefault="0017452B" w:rsidP="0017452B">
      <w:pPr>
        <w:spacing w:after="0" w:line="480" w:lineRule="auto"/>
        <w:rPr>
          <w:rStyle w:val="fontstyle01"/>
          <w:rFonts w:asciiTheme="majorBidi" w:hAnsiTheme="majorBidi" w:cstheme="majorBidi"/>
          <w:color w:val="auto"/>
          <w:sz w:val="24"/>
          <w:szCs w:val="24"/>
        </w:rPr>
      </w:pPr>
      <w:r w:rsidRPr="00E05A6F">
        <w:rPr>
          <w:rStyle w:val="fontstyle01"/>
          <w:rFonts w:asciiTheme="majorBidi" w:hAnsiTheme="majorBidi" w:cstheme="majorBidi"/>
          <w:color w:val="auto"/>
          <w:sz w:val="24"/>
          <w:szCs w:val="24"/>
        </w:rPr>
        <w:t>Data were collected retrospectively from the</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medical records of patients with pemphigus followed up in the immunodermatology clinic</w:t>
      </w:r>
      <w:r w:rsidRPr="00E05A6F">
        <w:rPr>
          <w:rFonts w:asciiTheme="majorBidi" w:hAnsiTheme="majorBidi" w:cstheme="majorBidi"/>
          <w:sz w:val="24"/>
          <w:szCs w:val="24"/>
        </w:rPr>
        <w:t xml:space="preserve"> of </w:t>
      </w:r>
      <w:r w:rsidRPr="00E05A6F">
        <w:rPr>
          <w:rStyle w:val="fontstyle01"/>
          <w:rFonts w:asciiTheme="majorBidi" w:hAnsiTheme="majorBidi" w:cstheme="majorBidi"/>
          <w:color w:val="auto"/>
          <w:sz w:val="24"/>
          <w:szCs w:val="24"/>
        </w:rPr>
        <w:t>Rabin Medical Center in Petah Tikva, Israel, between</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2007 and 2012. All patients had</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an established diagnosis of pemphigus vulgaris or</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pemphigus foliaceus according to clinical, immunofluorescence, and histopathological criteria. The study cohort was established using the following protocol: files of all pemphigus patients were manually reviewed for rituximab treatment recommendation. For additional corroboration, the supreme committee for the nonbasket drugs of the Clalit Health Services (the biggest health maintenance organization in Israel) and the institutional pharmacy were queried for the names of pemphigus patients who requested rituximab treatment. The</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study was approved by the</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institutional review board. The indications for rituximab treatment</w:t>
      </w:r>
      <w:r w:rsidRPr="00E05A6F">
        <w:rPr>
          <w:rFonts w:asciiTheme="majorBidi" w:hAnsiTheme="majorBidi" w:cstheme="majorBidi"/>
          <w:sz w:val="24"/>
          <w:szCs w:val="24"/>
        </w:rPr>
        <w:t xml:space="preserve"> at that time </w:t>
      </w:r>
      <w:r w:rsidRPr="00E05A6F">
        <w:rPr>
          <w:rStyle w:val="fontstyle01"/>
          <w:rFonts w:asciiTheme="majorBidi" w:hAnsiTheme="majorBidi" w:cstheme="majorBidi"/>
          <w:color w:val="auto"/>
          <w:sz w:val="24"/>
          <w:szCs w:val="24"/>
        </w:rPr>
        <w:t>were active disease despite treatment with 1</w:t>
      </w:r>
      <w:r w:rsidR="00C404BC">
        <w:rPr>
          <w:rStyle w:val="fontstyle01"/>
          <w:rFonts w:asciiTheme="majorBidi" w:hAnsiTheme="majorBidi" w:cstheme="majorBidi"/>
          <w:color w:val="auto"/>
          <w:sz w:val="24"/>
          <w:szCs w:val="24"/>
        </w:rPr>
        <w:t>–</w:t>
      </w:r>
      <w:r w:rsidRPr="00E05A6F">
        <w:rPr>
          <w:rStyle w:val="fontstyle01"/>
          <w:rFonts w:asciiTheme="majorBidi" w:hAnsiTheme="majorBidi" w:cstheme="majorBidi"/>
          <w:color w:val="auto"/>
          <w:sz w:val="24"/>
          <w:szCs w:val="24"/>
        </w:rPr>
        <w:t>1.5 mg/kg/d</w:t>
      </w:r>
      <w:r w:rsidR="00C404BC">
        <w:rPr>
          <w:rStyle w:val="fontstyle01"/>
          <w:rFonts w:asciiTheme="majorBidi" w:hAnsiTheme="majorBidi" w:cstheme="majorBidi"/>
          <w:color w:val="auto"/>
          <w:sz w:val="24"/>
          <w:szCs w:val="24"/>
        </w:rPr>
        <w:t>ay</w:t>
      </w:r>
      <w:r w:rsidRPr="00E05A6F">
        <w:rPr>
          <w:rStyle w:val="fontstyle01"/>
          <w:rFonts w:asciiTheme="majorBidi" w:hAnsiTheme="majorBidi" w:cstheme="majorBidi"/>
          <w:color w:val="auto"/>
          <w:sz w:val="24"/>
          <w:szCs w:val="24"/>
        </w:rPr>
        <w:t xml:space="preserve"> of prednisone</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equivalent for a minimum of</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3 weeks with or without a</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concomitant conventional</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immunosuppressive drug or severe adverse effects</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 xml:space="preserve">to corticosteroid therapy. Patients were classified into two groups: patients treated with rituximab and patients who were recommended rituximab treatment but did not receive it. </w:t>
      </w:r>
    </w:p>
    <w:p w14:paraId="4783DFF6" w14:textId="77777777" w:rsidR="0095504D" w:rsidRPr="00E05A6F" w:rsidRDefault="0095504D" w:rsidP="0017452B">
      <w:pPr>
        <w:spacing w:after="0" w:line="480" w:lineRule="auto"/>
        <w:rPr>
          <w:rStyle w:val="fontstyle01"/>
          <w:rFonts w:asciiTheme="majorBidi" w:hAnsiTheme="majorBidi" w:cstheme="majorBidi"/>
          <w:color w:val="auto"/>
          <w:sz w:val="24"/>
          <w:szCs w:val="24"/>
        </w:rPr>
      </w:pPr>
    </w:p>
    <w:p w14:paraId="15959AE7" w14:textId="77777777" w:rsidR="00C404BC" w:rsidRPr="00C404BC" w:rsidRDefault="0017452B" w:rsidP="0017452B">
      <w:pPr>
        <w:spacing w:after="0" w:line="480" w:lineRule="auto"/>
        <w:rPr>
          <w:rFonts w:asciiTheme="majorBidi" w:hAnsiTheme="majorBidi" w:cstheme="majorBidi"/>
          <w:i/>
          <w:iCs/>
          <w:sz w:val="24"/>
          <w:szCs w:val="24"/>
        </w:rPr>
      </w:pPr>
      <w:r w:rsidRPr="00C404BC">
        <w:rPr>
          <w:rFonts w:asciiTheme="majorBidi" w:hAnsiTheme="majorBidi" w:cstheme="majorBidi"/>
          <w:i/>
          <w:iCs/>
          <w:sz w:val="24"/>
          <w:szCs w:val="24"/>
        </w:rPr>
        <w:t xml:space="preserve">Assessment of </w:t>
      </w:r>
      <w:r w:rsidR="00C404BC" w:rsidRPr="00C404BC">
        <w:rPr>
          <w:rFonts w:asciiTheme="majorBidi" w:hAnsiTheme="majorBidi" w:cstheme="majorBidi"/>
          <w:i/>
          <w:iCs/>
          <w:sz w:val="24"/>
          <w:szCs w:val="24"/>
        </w:rPr>
        <w:t xml:space="preserve">Response </w:t>
      </w:r>
      <w:r w:rsidRPr="00C404BC">
        <w:rPr>
          <w:rFonts w:asciiTheme="majorBidi" w:hAnsiTheme="majorBidi" w:cstheme="majorBidi"/>
          <w:i/>
          <w:iCs/>
          <w:sz w:val="24"/>
          <w:szCs w:val="24"/>
        </w:rPr>
        <w:t xml:space="preserve">to </w:t>
      </w:r>
      <w:r w:rsidR="00C404BC" w:rsidRPr="00C404BC">
        <w:rPr>
          <w:rFonts w:asciiTheme="majorBidi" w:hAnsiTheme="majorBidi" w:cstheme="majorBidi"/>
          <w:i/>
          <w:iCs/>
          <w:sz w:val="24"/>
          <w:szCs w:val="24"/>
        </w:rPr>
        <w:t>Treatment</w:t>
      </w:r>
    </w:p>
    <w:p w14:paraId="716F5534" w14:textId="0C3EF0FC" w:rsidR="0017452B" w:rsidRPr="00E05A6F" w:rsidRDefault="0017452B" w:rsidP="0017452B">
      <w:pPr>
        <w:spacing w:after="0" w:line="480" w:lineRule="auto"/>
        <w:rPr>
          <w:rFonts w:asciiTheme="majorBidi" w:hAnsiTheme="majorBidi" w:cstheme="majorBidi"/>
          <w:sz w:val="24"/>
          <w:szCs w:val="24"/>
        </w:rPr>
      </w:pPr>
      <w:r w:rsidRPr="00E05A6F">
        <w:rPr>
          <w:rFonts w:asciiTheme="majorBidi" w:hAnsiTheme="majorBidi" w:cstheme="majorBidi"/>
          <w:sz w:val="24"/>
          <w:szCs w:val="24"/>
        </w:rPr>
        <w:t>Response to treatment was determined according</w:t>
      </w:r>
      <w:r w:rsidRPr="00E05A6F">
        <w:rPr>
          <w:rFonts w:asciiTheme="majorBidi" w:hAnsiTheme="majorBidi" w:cstheme="majorBidi"/>
          <w:sz w:val="24"/>
          <w:szCs w:val="24"/>
          <w:rtl/>
        </w:rPr>
        <w:t xml:space="preserve"> </w:t>
      </w:r>
      <w:r w:rsidRPr="00E05A6F">
        <w:rPr>
          <w:rFonts w:asciiTheme="majorBidi" w:hAnsiTheme="majorBidi" w:cstheme="majorBidi"/>
          <w:sz w:val="24"/>
          <w:szCs w:val="24"/>
        </w:rPr>
        <w:t>to the definitions of an international consensus conference: complete remission is the absence of new or established lesions</w:t>
      </w:r>
      <w:r w:rsidR="00C404BC">
        <w:rPr>
          <w:rFonts w:asciiTheme="majorBidi" w:hAnsiTheme="majorBidi" w:cstheme="majorBidi"/>
          <w:sz w:val="24"/>
          <w:szCs w:val="24"/>
        </w:rPr>
        <w:t>,</w:t>
      </w:r>
      <w:r w:rsidRPr="00E05A6F">
        <w:rPr>
          <w:rFonts w:asciiTheme="majorBidi" w:hAnsiTheme="majorBidi" w:cstheme="majorBidi"/>
          <w:sz w:val="24"/>
          <w:szCs w:val="24"/>
        </w:rPr>
        <w:t xml:space="preserve"> and partial</w:t>
      </w:r>
      <w:r w:rsidRPr="00E05A6F">
        <w:rPr>
          <w:rFonts w:asciiTheme="majorBidi" w:hAnsiTheme="majorBidi" w:cstheme="majorBidi"/>
          <w:sz w:val="24"/>
          <w:szCs w:val="24"/>
          <w:rtl/>
        </w:rPr>
        <w:t xml:space="preserve"> </w:t>
      </w:r>
      <w:r w:rsidRPr="00E05A6F">
        <w:rPr>
          <w:rFonts w:asciiTheme="majorBidi" w:hAnsiTheme="majorBidi" w:cstheme="majorBidi"/>
          <w:sz w:val="24"/>
          <w:szCs w:val="24"/>
        </w:rPr>
        <w:t>remission is the presence of transient new</w:t>
      </w:r>
      <w:r w:rsidRPr="00E05A6F">
        <w:rPr>
          <w:rFonts w:asciiTheme="majorBidi" w:hAnsiTheme="majorBidi" w:cstheme="majorBidi"/>
          <w:sz w:val="24"/>
          <w:szCs w:val="24"/>
          <w:rtl/>
        </w:rPr>
        <w:t xml:space="preserve"> </w:t>
      </w:r>
      <w:r w:rsidRPr="00E05A6F">
        <w:rPr>
          <w:rFonts w:asciiTheme="majorBidi" w:hAnsiTheme="majorBidi" w:cstheme="majorBidi"/>
          <w:sz w:val="24"/>
          <w:szCs w:val="24"/>
        </w:rPr>
        <w:t>lesions that heal within 1 week. Both can be either</w:t>
      </w:r>
      <w:r w:rsidRPr="00E05A6F">
        <w:rPr>
          <w:rFonts w:asciiTheme="majorBidi" w:hAnsiTheme="majorBidi" w:cstheme="majorBidi"/>
          <w:sz w:val="24"/>
          <w:szCs w:val="24"/>
          <w:rtl/>
        </w:rPr>
        <w:t xml:space="preserve"> </w:t>
      </w:r>
      <w:r w:rsidRPr="00E05A6F">
        <w:rPr>
          <w:rFonts w:asciiTheme="majorBidi" w:hAnsiTheme="majorBidi" w:cstheme="majorBidi"/>
          <w:sz w:val="24"/>
          <w:szCs w:val="24"/>
        </w:rPr>
        <w:t xml:space="preserve">off or on minimal therapy </w:t>
      </w:r>
      <w:r w:rsidRPr="00E05A6F">
        <w:rPr>
          <w:rFonts w:ascii="Times New Roman" w:hAnsi="Times New Roman" w:cs="Times New Roman"/>
          <w:sz w:val="24"/>
        </w:rPr>
        <w:t>[11]</w:t>
      </w:r>
      <w:r w:rsidR="00C404BC">
        <w:rPr>
          <w:rFonts w:ascii="Times New Roman" w:hAnsi="Times New Roman" w:cs="Times New Roman"/>
          <w:sz w:val="24"/>
        </w:rPr>
        <w:t>,</w:t>
      </w:r>
      <w:r w:rsidRPr="00E05A6F">
        <w:rPr>
          <w:rFonts w:asciiTheme="majorBidi" w:hAnsiTheme="majorBidi" w:cstheme="majorBidi"/>
          <w:sz w:val="24"/>
          <w:szCs w:val="24"/>
        </w:rPr>
        <w:t xml:space="preserve"> defined as 10 mg/d</w:t>
      </w:r>
      <w:r w:rsidR="00C404BC">
        <w:rPr>
          <w:rFonts w:asciiTheme="majorBidi" w:hAnsiTheme="majorBidi" w:cstheme="majorBidi"/>
          <w:sz w:val="24"/>
          <w:szCs w:val="24"/>
        </w:rPr>
        <w:t>ay</w:t>
      </w:r>
      <w:r w:rsidRPr="00E05A6F">
        <w:rPr>
          <w:rFonts w:asciiTheme="majorBidi" w:hAnsiTheme="majorBidi" w:cstheme="majorBidi"/>
          <w:sz w:val="24"/>
          <w:szCs w:val="24"/>
        </w:rPr>
        <w:t xml:space="preserve"> of prednisone</w:t>
      </w:r>
      <w:r w:rsidRPr="00E05A6F">
        <w:rPr>
          <w:rFonts w:asciiTheme="majorBidi" w:hAnsiTheme="majorBidi" w:cstheme="majorBidi"/>
          <w:sz w:val="24"/>
          <w:szCs w:val="24"/>
          <w:rtl/>
        </w:rPr>
        <w:t xml:space="preserve"> </w:t>
      </w:r>
      <w:r w:rsidRPr="00E05A6F">
        <w:rPr>
          <w:rFonts w:asciiTheme="majorBidi" w:hAnsiTheme="majorBidi" w:cstheme="majorBidi"/>
          <w:sz w:val="24"/>
          <w:szCs w:val="24"/>
        </w:rPr>
        <w:t>equivalent and/or minimal adjuvant therapy for at</w:t>
      </w:r>
      <w:r w:rsidRPr="00E05A6F">
        <w:rPr>
          <w:rFonts w:asciiTheme="majorBidi" w:hAnsiTheme="majorBidi" w:cstheme="majorBidi"/>
          <w:sz w:val="24"/>
          <w:szCs w:val="24"/>
          <w:rtl/>
        </w:rPr>
        <w:t xml:space="preserve"> </w:t>
      </w:r>
      <w:r w:rsidRPr="00E05A6F">
        <w:rPr>
          <w:rFonts w:asciiTheme="majorBidi" w:hAnsiTheme="majorBidi" w:cstheme="majorBidi"/>
          <w:sz w:val="24"/>
          <w:szCs w:val="24"/>
        </w:rPr>
        <w:t xml:space="preserve">least 2 months. As many patients with severe disease, such as those in our cohort, receive more than </w:t>
      </w:r>
      <w:r w:rsidRPr="00E05A6F">
        <w:rPr>
          <w:rStyle w:val="fontstyle01"/>
          <w:rFonts w:asciiTheme="majorBidi" w:hAnsiTheme="majorBidi" w:cstheme="majorBidi"/>
          <w:color w:val="auto"/>
          <w:sz w:val="24"/>
          <w:szCs w:val="24"/>
        </w:rPr>
        <w:t>10</w:t>
      </w:r>
      <w:r w:rsidR="00C404BC">
        <w:rPr>
          <w:rStyle w:val="fontstyle01"/>
          <w:rFonts w:asciiTheme="majorBidi" w:hAnsiTheme="majorBidi" w:cstheme="majorBidi"/>
          <w:color w:val="auto"/>
          <w:sz w:val="24"/>
          <w:szCs w:val="24"/>
        </w:rPr>
        <w:t xml:space="preserve"> </w:t>
      </w:r>
      <w:r w:rsidRPr="00E05A6F">
        <w:rPr>
          <w:rStyle w:val="fontstyle01"/>
          <w:rFonts w:asciiTheme="majorBidi" w:hAnsiTheme="majorBidi" w:cstheme="majorBidi"/>
          <w:color w:val="auto"/>
          <w:sz w:val="24"/>
          <w:szCs w:val="24"/>
        </w:rPr>
        <w:t>mg/day</w:t>
      </w:r>
      <w:r w:rsidRPr="00E05A6F">
        <w:rPr>
          <w:rFonts w:asciiTheme="majorBidi" w:hAnsiTheme="majorBidi" w:cstheme="majorBidi"/>
          <w:sz w:val="24"/>
          <w:szCs w:val="24"/>
        </w:rPr>
        <w:t xml:space="preserve"> of prednisone</w:t>
      </w:r>
      <w:r w:rsidRPr="00E05A6F">
        <w:rPr>
          <w:rFonts w:asciiTheme="majorBidi" w:hAnsiTheme="majorBidi" w:cstheme="majorBidi"/>
          <w:sz w:val="24"/>
          <w:szCs w:val="24"/>
          <w:rtl/>
        </w:rPr>
        <w:t xml:space="preserve"> </w:t>
      </w:r>
      <w:r w:rsidRPr="00E05A6F">
        <w:rPr>
          <w:rFonts w:asciiTheme="majorBidi" w:hAnsiTheme="majorBidi" w:cstheme="majorBidi"/>
          <w:sz w:val="24"/>
          <w:szCs w:val="24"/>
        </w:rPr>
        <w:t>equivalent over many months</w:t>
      </w:r>
      <w:r w:rsidRPr="00E05A6F">
        <w:rPr>
          <w:rStyle w:val="fontstyle01"/>
          <w:rFonts w:asciiTheme="majorBidi" w:hAnsiTheme="majorBidi" w:cstheme="majorBidi"/>
          <w:color w:val="auto"/>
          <w:sz w:val="24"/>
          <w:szCs w:val="24"/>
        </w:rPr>
        <w:t>, even following remission,</w:t>
      </w:r>
      <w:r w:rsidRPr="00E05A6F">
        <w:rPr>
          <w:rFonts w:asciiTheme="majorBidi" w:hAnsiTheme="majorBidi" w:cstheme="majorBidi"/>
          <w:sz w:val="24"/>
          <w:szCs w:val="24"/>
        </w:rPr>
        <w:t xml:space="preserve"> we opted to apply a definition of “moderate therapy” at a maximum of 40 mg/day prednisone equivalent, instead of minimal </w:t>
      </w:r>
      <w:r w:rsidRPr="00E05A6F">
        <w:rPr>
          <w:rFonts w:asciiTheme="majorBidi" w:hAnsiTheme="majorBidi" w:cstheme="majorBidi"/>
          <w:sz w:val="24"/>
          <w:szCs w:val="24"/>
        </w:rPr>
        <w:lastRenderedPageBreak/>
        <w:t xml:space="preserve">therapy. Patients </w:t>
      </w:r>
      <w:r w:rsidR="00C404BC">
        <w:rPr>
          <w:rFonts w:asciiTheme="majorBidi" w:hAnsiTheme="majorBidi" w:cstheme="majorBidi"/>
          <w:sz w:val="24"/>
          <w:szCs w:val="24"/>
        </w:rPr>
        <w:t>who</w:t>
      </w:r>
      <w:r w:rsidRPr="00E05A6F">
        <w:rPr>
          <w:rFonts w:asciiTheme="majorBidi" w:hAnsiTheme="majorBidi" w:cstheme="majorBidi"/>
          <w:sz w:val="24"/>
          <w:szCs w:val="24"/>
        </w:rPr>
        <w:t xml:space="preserve"> failed to achieve a remission following a single cycle of rituximab and received additional cycles within 12 months were defined as nonresponders. Relapse was defined as the appearance of 3 or more new lesions a month that do not</w:t>
      </w:r>
      <w:r w:rsidRPr="00E05A6F">
        <w:rPr>
          <w:rFonts w:asciiTheme="majorBidi" w:hAnsiTheme="majorBidi" w:cstheme="majorBidi"/>
          <w:sz w:val="24"/>
          <w:szCs w:val="24"/>
          <w:rtl/>
        </w:rPr>
        <w:t xml:space="preserve"> </w:t>
      </w:r>
      <w:r w:rsidRPr="00E05A6F">
        <w:rPr>
          <w:rFonts w:asciiTheme="majorBidi" w:hAnsiTheme="majorBidi" w:cstheme="majorBidi"/>
          <w:sz w:val="24"/>
          <w:szCs w:val="24"/>
        </w:rPr>
        <w:t>heal spontaneously within 1 week.</w:t>
      </w:r>
      <w:r w:rsidRPr="00E05A6F">
        <w:rPr>
          <w:rStyle w:val="fontstyle01"/>
          <w:rFonts w:asciiTheme="majorBidi" w:hAnsiTheme="majorBidi" w:cstheme="majorBidi"/>
          <w:color w:val="auto"/>
          <w:sz w:val="24"/>
          <w:szCs w:val="24"/>
        </w:rPr>
        <w:t xml:space="preserve"> </w:t>
      </w:r>
      <w:r w:rsidR="00C404BC">
        <w:rPr>
          <w:rStyle w:val="fontstyle01"/>
          <w:rFonts w:asciiTheme="majorBidi" w:hAnsiTheme="majorBidi" w:cstheme="majorBidi"/>
          <w:color w:val="auto"/>
          <w:sz w:val="24"/>
          <w:szCs w:val="24"/>
        </w:rPr>
        <w:t xml:space="preserve">The </w:t>
      </w:r>
      <w:r w:rsidR="00C404BC" w:rsidRPr="00E05A6F">
        <w:rPr>
          <w:rFonts w:asciiTheme="majorBidi" w:hAnsiTheme="majorBidi" w:cstheme="majorBidi"/>
          <w:sz w:val="24"/>
          <w:szCs w:val="24"/>
        </w:rPr>
        <w:t>pemphigus disease area in</w:t>
      </w:r>
      <w:r w:rsidRPr="00E05A6F">
        <w:rPr>
          <w:rFonts w:asciiTheme="majorBidi" w:hAnsiTheme="majorBidi" w:cstheme="majorBidi"/>
          <w:sz w:val="24"/>
          <w:szCs w:val="24"/>
        </w:rPr>
        <w:t>dex was assessed at baseline and after rituximab was indicated or given.</w:t>
      </w:r>
    </w:p>
    <w:p w14:paraId="57249AEF" w14:textId="74AD08CB" w:rsidR="0017452B" w:rsidRPr="00C404BC" w:rsidRDefault="0017452B" w:rsidP="0017452B">
      <w:pPr>
        <w:spacing w:after="0" w:line="480" w:lineRule="auto"/>
        <w:rPr>
          <w:rFonts w:asciiTheme="majorBidi" w:hAnsiTheme="majorBidi" w:cstheme="majorBidi"/>
          <w:i/>
          <w:iCs/>
          <w:sz w:val="24"/>
          <w:szCs w:val="24"/>
        </w:rPr>
      </w:pPr>
      <w:r w:rsidRPr="00C404BC">
        <w:rPr>
          <w:rFonts w:asciiTheme="majorBidi" w:hAnsiTheme="majorBidi" w:cstheme="majorBidi"/>
          <w:i/>
          <w:iCs/>
          <w:sz w:val="24"/>
          <w:szCs w:val="24"/>
        </w:rPr>
        <w:t xml:space="preserve">Treatment </w:t>
      </w:r>
      <w:r w:rsidR="00C404BC" w:rsidRPr="00C404BC">
        <w:rPr>
          <w:rFonts w:asciiTheme="majorBidi" w:hAnsiTheme="majorBidi" w:cstheme="majorBidi"/>
          <w:i/>
          <w:iCs/>
          <w:sz w:val="24"/>
          <w:szCs w:val="24"/>
        </w:rPr>
        <w:t>Protocol</w:t>
      </w:r>
    </w:p>
    <w:p w14:paraId="3258A428" w14:textId="275E1159" w:rsidR="0017452B" w:rsidRPr="00E05A6F" w:rsidRDefault="0017452B" w:rsidP="0017452B">
      <w:pPr>
        <w:spacing w:after="0" w:line="480" w:lineRule="auto"/>
        <w:rPr>
          <w:rStyle w:val="fontstyle01"/>
          <w:rFonts w:asciiTheme="majorBidi" w:hAnsiTheme="majorBidi" w:cstheme="majorBidi"/>
          <w:color w:val="auto"/>
          <w:sz w:val="24"/>
          <w:szCs w:val="24"/>
        </w:rPr>
      </w:pPr>
      <w:r w:rsidRPr="00E05A6F">
        <w:rPr>
          <w:rStyle w:val="fontstyle01"/>
          <w:rFonts w:asciiTheme="majorBidi" w:hAnsiTheme="majorBidi" w:cstheme="majorBidi"/>
          <w:color w:val="auto"/>
          <w:sz w:val="24"/>
          <w:szCs w:val="24"/>
        </w:rPr>
        <w:t>Rituximab was administered either at the</w:t>
      </w:r>
      <w:r w:rsidRPr="00E05A6F">
        <w:rPr>
          <w:rFonts w:asciiTheme="majorBidi" w:hAnsiTheme="majorBidi" w:cstheme="majorBidi"/>
          <w:sz w:val="24"/>
          <w:szCs w:val="24"/>
        </w:rPr>
        <w:t xml:space="preserve"> “rheumatoid arthritis dosage” (</w:t>
      </w:r>
      <w:r w:rsidRPr="00E05A6F">
        <w:rPr>
          <w:rStyle w:val="fontstyle01"/>
          <w:rFonts w:asciiTheme="majorBidi" w:hAnsiTheme="majorBidi" w:cstheme="majorBidi"/>
          <w:color w:val="auto"/>
          <w:sz w:val="24"/>
          <w:szCs w:val="24"/>
        </w:rPr>
        <w:t>2</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rituximab infusions at a dose of 1</w:t>
      </w:r>
      <w:r w:rsidR="00C404BC">
        <w:rPr>
          <w:rStyle w:val="fontstyle01"/>
          <w:rFonts w:asciiTheme="majorBidi" w:hAnsiTheme="majorBidi" w:cstheme="majorBidi"/>
          <w:color w:val="auto"/>
          <w:sz w:val="24"/>
          <w:szCs w:val="24"/>
        </w:rPr>
        <w:t>,</w:t>
      </w:r>
      <w:r w:rsidRPr="00E05A6F">
        <w:rPr>
          <w:rStyle w:val="fontstyle01"/>
          <w:rFonts w:asciiTheme="majorBidi" w:hAnsiTheme="majorBidi" w:cstheme="majorBidi"/>
          <w:color w:val="auto"/>
          <w:sz w:val="24"/>
          <w:szCs w:val="24"/>
        </w:rPr>
        <w:t>000 mg on days</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1 and 15) or at the</w:t>
      </w:r>
      <w:r w:rsidRPr="00E05A6F">
        <w:rPr>
          <w:rFonts w:asciiTheme="majorBidi" w:hAnsiTheme="majorBidi" w:cstheme="majorBidi"/>
          <w:sz w:val="24"/>
          <w:szCs w:val="24"/>
        </w:rPr>
        <w:t xml:space="preserve"> “lymphoma dosage” (375 mg/m</w:t>
      </w:r>
      <w:r w:rsidRPr="00E05A6F">
        <w:rPr>
          <w:rFonts w:asciiTheme="majorBidi" w:hAnsiTheme="majorBidi" w:cstheme="majorBidi"/>
          <w:sz w:val="24"/>
          <w:szCs w:val="24"/>
          <w:vertAlign w:val="superscript"/>
        </w:rPr>
        <w:t>2</w:t>
      </w:r>
      <w:r w:rsidRPr="00E05A6F">
        <w:rPr>
          <w:rFonts w:asciiTheme="majorBidi" w:hAnsiTheme="majorBidi" w:cstheme="majorBidi"/>
          <w:sz w:val="24"/>
          <w:szCs w:val="24"/>
        </w:rPr>
        <w:t xml:space="preserve"> once a week for </w:t>
      </w:r>
      <w:r w:rsidR="00C404BC">
        <w:rPr>
          <w:rFonts w:asciiTheme="majorBidi" w:hAnsiTheme="majorBidi" w:cstheme="majorBidi"/>
          <w:sz w:val="24"/>
          <w:szCs w:val="24"/>
        </w:rPr>
        <w:t>4</w:t>
      </w:r>
      <w:r w:rsidRPr="00E05A6F">
        <w:rPr>
          <w:rFonts w:asciiTheme="majorBidi" w:hAnsiTheme="majorBidi" w:cstheme="majorBidi"/>
          <w:sz w:val="24"/>
          <w:szCs w:val="24"/>
        </w:rPr>
        <w:t xml:space="preserve"> consecutive weeks). </w:t>
      </w:r>
      <w:r w:rsidRPr="00E05A6F">
        <w:rPr>
          <w:rStyle w:val="fontstyle01"/>
          <w:rFonts w:asciiTheme="majorBidi" w:hAnsiTheme="majorBidi" w:cstheme="majorBidi"/>
          <w:color w:val="auto"/>
          <w:sz w:val="24"/>
          <w:szCs w:val="24"/>
        </w:rPr>
        <w:t xml:space="preserve">The majority of </w:t>
      </w:r>
      <w:r w:rsidR="00C404BC">
        <w:rPr>
          <w:rStyle w:val="fontstyle01"/>
          <w:rFonts w:asciiTheme="majorBidi" w:hAnsiTheme="majorBidi" w:cstheme="majorBidi"/>
          <w:color w:val="auto"/>
          <w:sz w:val="24"/>
          <w:szCs w:val="24"/>
        </w:rPr>
        <w:t xml:space="preserve">the </w:t>
      </w:r>
      <w:r w:rsidRPr="00E05A6F">
        <w:rPr>
          <w:rStyle w:val="fontstyle01"/>
          <w:rFonts w:asciiTheme="majorBidi" w:hAnsiTheme="majorBidi" w:cstheme="majorBidi"/>
          <w:color w:val="auto"/>
          <w:sz w:val="24"/>
          <w:szCs w:val="24"/>
        </w:rPr>
        <w:t>patients were treated with concomitant</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immunosuppressive therapy during</w:t>
      </w:r>
      <w:r w:rsidRPr="00E05A6F">
        <w:rPr>
          <w:rFonts w:asciiTheme="majorBidi" w:hAnsiTheme="majorBidi" w:cstheme="majorBidi"/>
          <w:sz w:val="24"/>
          <w:szCs w:val="24"/>
        </w:rPr>
        <w:t xml:space="preserve"> </w:t>
      </w:r>
      <w:r w:rsidRPr="00E05A6F">
        <w:rPr>
          <w:rStyle w:val="fontstyle01"/>
          <w:rFonts w:asciiTheme="majorBidi" w:hAnsiTheme="majorBidi" w:cstheme="majorBidi"/>
          <w:color w:val="auto"/>
          <w:sz w:val="24"/>
          <w:szCs w:val="24"/>
        </w:rPr>
        <w:t xml:space="preserve">rituximab treatment. </w:t>
      </w:r>
    </w:p>
    <w:p w14:paraId="0D9E6A80" w14:textId="1D1ED5B2" w:rsidR="0017452B" w:rsidRPr="00C404BC" w:rsidRDefault="0017452B" w:rsidP="0017452B">
      <w:pPr>
        <w:spacing w:after="0" w:line="480" w:lineRule="auto"/>
        <w:rPr>
          <w:rFonts w:asciiTheme="majorBidi" w:hAnsiTheme="majorBidi" w:cstheme="majorBidi"/>
          <w:i/>
          <w:iCs/>
          <w:sz w:val="24"/>
          <w:szCs w:val="24"/>
        </w:rPr>
      </w:pPr>
      <w:r w:rsidRPr="00C404BC">
        <w:rPr>
          <w:rFonts w:asciiTheme="majorBidi" w:hAnsiTheme="majorBidi" w:cstheme="majorBidi"/>
          <w:i/>
          <w:iCs/>
          <w:sz w:val="24"/>
          <w:szCs w:val="24"/>
        </w:rPr>
        <w:t xml:space="preserve">Study </w:t>
      </w:r>
      <w:r w:rsidR="00C404BC" w:rsidRPr="00C404BC">
        <w:rPr>
          <w:rFonts w:asciiTheme="majorBidi" w:hAnsiTheme="majorBidi" w:cstheme="majorBidi"/>
          <w:i/>
          <w:iCs/>
          <w:sz w:val="24"/>
          <w:szCs w:val="24"/>
        </w:rPr>
        <w:t>End Po</w:t>
      </w:r>
      <w:r w:rsidRPr="00C404BC">
        <w:rPr>
          <w:rFonts w:asciiTheme="majorBidi" w:hAnsiTheme="majorBidi" w:cstheme="majorBidi"/>
          <w:i/>
          <w:iCs/>
          <w:sz w:val="24"/>
          <w:szCs w:val="24"/>
        </w:rPr>
        <w:t>ints</w:t>
      </w:r>
    </w:p>
    <w:p w14:paraId="11686D6B" w14:textId="306451F0" w:rsidR="0017452B" w:rsidRPr="00E05A6F" w:rsidRDefault="0017452B" w:rsidP="0017452B">
      <w:pPr>
        <w:spacing w:after="0" w:line="480" w:lineRule="auto"/>
        <w:rPr>
          <w:rStyle w:val="fontstyle01"/>
          <w:rFonts w:asciiTheme="majorBidi" w:hAnsiTheme="majorBidi" w:cstheme="majorBidi"/>
          <w:color w:val="auto"/>
          <w:sz w:val="24"/>
          <w:szCs w:val="24"/>
        </w:rPr>
      </w:pPr>
      <w:r w:rsidRPr="00E05A6F">
        <w:rPr>
          <w:rFonts w:asciiTheme="majorBidi" w:hAnsiTheme="majorBidi" w:cstheme="majorBidi"/>
          <w:sz w:val="24"/>
          <w:szCs w:val="24"/>
        </w:rPr>
        <w:t xml:space="preserve">The primary end point was the rate of remission (partial or complete, on or off moderate therapy) 12 months </w:t>
      </w:r>
      <w:r w:rsidR="00C404BC">
        <w:rPr>
          <w:rFonts w:asciiTheme="majorBidi" w:hAnsiTheme="majorBidi" w:cstheme="majorBidi"/>
          <w:sz w:val="24"/>
          <w:szCs w:val="24"/>
        </w:rPr>
        <w:t xml:space="preserve">after </w:t>
      </w:r>
      <w:r w:rsidRPr="00E05A6F">
        <w:rPr>
          <w:rFonts w:asciiTheme="majorBidi" w:hAnsiTheme="majorBidi" w:cstheme="majorBidi"/>
          <w:sz w:val="24"/>
          <w:szCs w:val="24"/>
        </w:rPr>
        <w:t xml:space="preserve">rituximab. The secondary end points were time to remission, </w:t>
      </w:r>
      <w:r w:rsidRPr="00E05A6F">
        <w:rPr>
          <w:rStyle w:val="fontstyle01"/>
          <w:rFonts w:asciiTheme="majorBidi" w:hAnsiTheme="majorBidi" w:cstheme="majorBidi"/>
          <w:color w:val="auto"/>
          <w:sz w:val="24"/>
          <w:szCs w:val="24"/>
        </w:rPr>
        <w:t>relapse rates</w:t>
      </w:r>
      <w:r w:rsidRPr="00E05A6F">
        <w:rPr>
          <w:rFonts w:asciiTheme="majorBidi" w:hAnsiTheme="majorBidi" w:cstheme="majorBidi"/>
          <w:sz w:val="24"/>
          <w:szCs w:val="24"/>
        </w:rPr>
        <w:t>, and adverse effects of treatment.</w:t>
      </w:r>
      <w:r w:rsidRPr="00E05A6F">
        <w:rPr>
          <w:rStyle w:val="fontstyle01"/>
          <w:rFonts w:asciiTheme="majorBidi" w:hAnsiTheme="majorBidi" w:cstheme="majorBidi"/>
          <w:color w:val="auto"/>
          <w:sz w:val="24"/>
          <w:szCs w:val="24"/>
        </w:rPr>
        <w:t xml:space="preserve"> In accordance with </w:t>
      </w:r>
      <w:r w:rsidRPr="00E05A6F">
        <w:rPr>
          <w:rFonts w:asciiTheme="majorBidi" w:hAnsiTheme="majorBidi" w:cstheme="majorBidi"/>
          <w:sz w:val="24"/>
          <w:szCs w:val="24"/>
        </w:rPr>
        <w:t>the US Food and Drug Administration</w:t>
      </w:r>
      <w:r w:rsidRPr="00E05A6F">
        <w:rPr>
          <w:rStyle w:val="fontstyle01"/>
          <w:rFonts w:asciiTheme="majorBidi" w:hAnsiTheme="majorBidi" w:cstheme="majorBidi"/>
          <w:color w:val="auto"/>
          <w:sz w:val="24"/>
          <w:szCs w:val="24"/>
        </w:rPr>
        <w:t xml:space="preserve">, </w:t>
      </w:r>
      <w:r w:rsidRPr="00E05A6F">
        <w:rPr>
          <w:rFonts w:asciiTheme="majorBidi" w:hAnsiTheme="majorBidi" w:cstheme="majorBidi"/>
          <w:sz w:val="24"/>
          <w:szCs w:val="24"/>
        </w:rPr>
        <w:t>an adverse event was considered severe if it resulted in a life-threatening adverse event, inpatient hospitalization or prolongation of existing hospitalization, a persistent or significant incapacity</w:t>
      </w:r>
      <w:r w:rsidR="00C404BC">
        <w:rPr>
          <w:rFonts w:asciiTheme="majorBidi" w:hAnsiTheme="majorBidi" w:cstheme="majorBidi"/>
          <w:sz w:val="24"/>
          <w:szCs w:val="24"/>
        </w:rPr>
        <w:t>,</w:t>
      </w:r>
      <w:r w:rsidRPr="00E05A6F">
        <w:rPr>
          <w:rFonts w:asciiTheme="majorBidi" w:hAnsiTheme="majorBidi" w:cstheme="majorBidi"/>
          <w:sz w:val="24"/>
          <w:szCs w:val="24"/>
        </w:rPr>
        <w:t xml:space="preserve"> or substantial disruption of the ability to conduct normal life functions</w:t>
      </w:r>
      <w:r w:rsidRPr="00E05A6F">
        <w:rPr>
          <w:rStyle w:val="fontstyle01"/>
          <w:rFonts w:asciiTheme="majorBidi" w:hAnsiTheme="majorBidi" w:cstheme="majorBidi"/>
          <w:color w:val="auto"/>
          <w:sz w:val="24"/>
          <w:szCs w:val="24"/>
        </w:rPr>
        <w:t>.</w:t>
      </w:r>
    </w:p>
    <w:p w14:paraId="6E3A6F32" w14:textId="77777777" w:rsidR="0017452B" w:rsidRPr="00E05A6F" w:rsidRDefault="0017452B" w:rsidP="0017452B">
      <w:pPr>
        <w:spacing w:after="0" w:line="480" w:lineRule="auto"/>
        <w:rPr>
          <w:rFonts w:asciiTheme="majorBidi" w:hAnsiTheme="majorBidi" w:cstheme="majorBidi"/>
          <w:sz w:val="24"/>
          <w:szCs w:val="24"/>
        </w:rPr>
      </w:pPr>
    </w:p>
    <w:p w14:paraId="010DF84E" w14:textId="77777777" w:rsidR="00C404BC" w:rsidRPr="00C404BC" w:rsidRDefault="0017452B" w:rsidP="0017452B">
      <w:pPr>
        <w:spacing w:after="0" w:line="480" w:lineRule="auto"/>
        <w:rPr>
          <w:rFonts w:asciiTheme="majorBidi" w:hAnsiTheme="majorBidi" w:cstheme="majorBidi"/>
          <w:i/>
          <w:iCs/>
          <w:sz w:val="24"/>
          <w:szCs w:val="24"/>
        </w:rPr>
      </w:pPr>
      <w:r w:rsidRPr="00C404BC">
        <w:rPr>
          <w:rFonts w:asciiTheme="majorBidi" w:hAnsiTheme="majorBidi" w:cstheme="majorBidi"/>
          <w:i/>
          <w:iCs/>
          <w:sz w:val="24"/>
          <w:szCs w:val="24"/>
        </w:rPr>
        <w:t xml:space="preserve">Statistical </w:t>
      </w:r>
      <w:r w:rsidR="00C404BC" w:rsidRPr="00C404BC">
        <w:rPr>
          <w:rFonts w:asciiTheme="majorBidi" w:hAnsiTheme="majorBidi" w:cstheme="majorBidi"/>
          <w:i/>
          <w:iCs/>
          <w:sz w:val="24"/>
          <w:szCs w:val="24"/>
        </w:rPr>
        <w:t>Analysis</w:t>
      </w:r>
    </w:p>
    <w:p w14:paraId="52C8BC63" w14:textId="18A36A5E" w:rsidR="0017452B" w:rsidRPr="00E05A6F" w:rsidRDefault="0017452B" w:rsidP="0017452B">
      <w:pPr>
        <w:spacing w:after="0" w:line="480" w:lineRule="auto"/>
        <w:rPr>
          <w:rFonts w:asciiTheme="majorBidi" w:hAnsiTheme="majorBidi" w:cstheme="majorBidi"/>
          <w:sz w:val="24"/>
          <w:szCs w:val="24"/>
        </w:rPr>
      </w:pPr>
      <w:r w:rsidRPr="00E05A6F">
        <w:rPr>
          <w:rFonts w:asciiTheme="majorBidi" w:hAnsiTheme="majorBidi" w:cstheme="majorBidi"/>
          <w:sz w:val="24"/>
          <w:szCs w:val="24"/>
        </w:rPr>
        <w:t xml:space="preserve">Baseline characteristics and clinical outcomes were summarized using descriptive statistics and compared by </w:t>
      </w:r>
      <w:r w:rsidRPr="00C404BC">
        <w:rPr>
          <w:rFonts w:asciiTheme="majorBidi" w:hAnsiTheme="majorBidi" w:cstheme="majorBidi"/>
          <w:i/>
          <w:sz w:val="24"/>
          <w:szCs w:val="24"/>
        </w:rPr>
        <w:t>t</w:t>
      </w:r>
      <w:r w:rsidRPr="00E05A6F">
        <w:rPr>
          <w:rFonts w:asciiTheme="majorBidi" w:hAnsiTheme="majorBidi" w:cstheme="majorBidi"/>
          <w:sz w:val="24"/>
          <w:szCs w:val="24"/>
        </w:rPr>
        <w:t xml:space="preserve"> test and Fisher</w:t>
      </w:r>
      <w:r w:rsidR="00C404BC">
        <w:rPr>
          <w:rFonts w:asciiTheme="majorBidi" w:hAnsiTheme="majorBidi" w:cstheme="majorBidi"/>
          <w:sz w:val="24"/>
          <w:szCs w:val="24"/>
        </w:rPr>
        <w:t>’</w:t>
      </w:r>
      <w:r w:rsidRPr="00E05A6F">
        <w:rPr>
          <w:rFonts w:asciiTheme="majorBidi" w:hAnsiTheme="majorBidi" w:cstheme="majorBidi"/>
          <w:sz w:val="24"/>
          <w:szCs w:val="24"/>
        </w:rPr>
        <w:t xml:space="preserve">s exact test, as appropriate. </w:t>
      </w:r>
    </w:p>
    <w:p w14:paraId="79EFF91A" w14:textId="77777777" w:rsidR="002465D8" w:rsidRDefault="002465D8"/>
    <w:sectPr w:rsidR="00246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S9B2B">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2B"/>
    <w:rsid w:val="0017452B"/>
    <w:rsid w:val="002465D8"/>
    <w:rsid w:val="0095504D"/>
    <w:rsid w:val="00C404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73B4"/>
  <w15:chartTrackingRefBased/>
  <w15:docId w15:val="{0EE0EF65-F9C9-4634-B918-77740B2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452B"/>
    <w:rPr>
      <w:lang w:val="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17452B"/>
    <w:rPr>
      <w:rFonts w:ascii="AdvPS9B2B" w:hAnsi="AdvPS9B2B"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4</cp:revision>
  <dcterms:created xsi:type="dcterms:W3CDTF">2020-05-22T08:41:00Z</dcterms:created>
  <dcterms:modified xsi:type="dcterms:W3CDTF">2020-07-15T06:35:00Z</dcterms:modified>
</cp:coreProperties>
</file>