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99C" w:rsidRDefault="0050799C" w:rsidP="0050799C">
      <w:pPr>
        <w:suppressLineNumbers/>
        <w:spacing w:line="360" w:lineRule="auto"/>
      </w:pPr>
      <w:r>
        <w:rPr>
          <w:rFonts w:hint="eastAsia"/>
          <w:b/>
          <w:bCs/>
          <w:szCs w:val="32"/>
        </w:rPr>
        <w:t xml:space="preserve">Appendix </w:t>
      </w:r>
      <w:r>
        <w:rPr>
          <w:b/>
          <w:szCs w:val="32"/>
        </w:rPr>
        <w:t>F</w:t>
      </w:r>
      <w:r>
        <w:rPr>
          <w:rFonts w:hint="eastAsia"/>
          <w:b/>
          <w:szCs w:val="32"/>
        </w:rPr>
        <w:t>ig.</w:t>
      </w:r>
      <w:r>
        <w:rPr>
          <w:rFonts w:hint="eastAsia"/>
          <w:szCs w:val="32"/>
        </w:rPr>
        <w:t xml:space="preserve"> </w:t>
      </w:r>
      <w:r>
        <w:rPr>
          <w:rFonts w:hint="eastAsia"/>
          <w:b/>
          <w:szCs w:val="32"/>
        </w:rPr>
        <w:t>S1.</w:t>
      </w:r>
      <w:r>
        <w:rPr>
          <w:rFonts w:hint="eastAsia"/>
          <w:szCs w:val="32"/>
        </w:rPr>
        <w:t> Decision curve analysis of the predictive models of stress urinary incontinence postpartum for primiparous (A) and multiparous (B).</w:t>
      </w:r>
    </w:p>
    <w:p w:rsidR="00A92A1C" w:rsidRDefault="00A92A1C">
      <w:bookmarkStart w:id="0" w:name="_GoBack"/>
      <w:bookmarkEnd w:id="0"/>
    </w:p>
    <w:sectPr w:rsidR="00A92A1C" w:rsidSect="00106FF1">
      <w:pgSz w:w="11906" w:h="16838"/>
      <w:pgMar w:top="1440" w:right="1800" w:bottom="1440" w:left="1800" w:header="851" w:footer="992" w:gutter="0"/>
      <w:cols w:space="72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9C"/>
    <w:rsid w:val="0050799C"/>
    <w:rsid w:val="00A9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4AB0A9-E0E1-4B2E-9F99-7358F7B7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0799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Rast</dc:creator>
  <cp:keywords/>
  <dc:description/>
  <cp:lastModifiedBy>Nathalie Rast</cp:lastModifiedBy>
  <cp:revision>1</cp:revision>
  <dcterms:created xsi:type="dcterms:W3CDTF">2020-05-07T15:24:00Z</dcterms:created>
  <dcterms:modified xsi:type="dcterms:W3CDTF">2020-05-07T15:24:00Z</dcterms:modified>
</cp:coreProperties>
</file>