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985"/>
        <w:gridCol w:w="1083"/>
        <w:gridCol w:w="2534"/>
        <w:gridCol w:w="1711"/>
      </w:tblGrid>
      <w:tr w:rsidR="00274F5C" w:rsidRPr="00466AFC" w14:paraId="39F0D915" w14:textId="77777777" w:rsidTr="003311F7">
        <w:tc>
          <w:tcPr>
            <w:tcW w:w="1703" w:type="dxa"/>
            <w:vAlign w:val="center"/>
          </w:tcPr>
          <w:p w14:paraId="0074CFDD" w14:textId="77777777" w:rsidR="00274F5C" w:rsidRPr="00466AFC" w:rsidRDefault="00274F5C" w:rsidP="003311F7">
            <w:pPr>
              <w:spacing w:after="160" w:line="259" w:lineRule="auto"/>
              <w:rPr>
                <w:b/>
                <w:bCs/>
              </w:rPr>
            </w:pPr>
            <w:r w:rsidRPr="00466AFC">
              <w:rPr>
                <w:b/>
                <w:bCs/>
              </w:rPr>
              <w:t>Pollutant</w:t>
            </w:r>
          </w:p>
        </w:tc>
        <w:tc>
          <w:tcPr>
            <w:tcW w:w="1985" w:type="dxa"/>
            <w:vAlign w:val="center"/>
          </w:tcPr>
          <w:p w14:paraId="1C56F7F3" w14:textId="77777777" w:rsidR="00274F5C" w:rsidRPr="00466AFC" w:rsidRDefault="00274F5C" w:rsidP="003311F7">
            <w:pPr>
              <w:spacing w:after="160" w:line="259" w:lineRule="auto"/>
              <w:rPr>
                <w:b/>
                <w:bCs/>
              </w:rPr>
            </w:pPr>
            <w:r w:rsidRPr="00466AFC">
              <w:rPr>
                <w:b/>
                <w:bCs/>
              </w:rPr>
              <w:t>Time Period</w:t>
            </w:r>
          </w:p>
        </w:tc>
        <w:tc>
          <w:tcPr>
            <w:tcW w:w="1083" w:type="dxa"/>
            <w:vAlign w:val="center"/>
          </w:tcPr>
          <w:p w14:paraId="4F72F4A1" w14:textId="77777777" w:rsidR="00274F5C" w:rsidRPr="00466AFC" w:rsidRDefault="00274F5C" w:rsidP="003311F7">
            <w:pPr>
              <w:spacing w:after="160" w:line="259" w:lineRule="auto"/>
              <w:rPr>
                <w:b/>
                <w:bCs/>
              </w:rPr>
            </w:pPr>
            <w:r w:rsidRPr="00466AFC">
              <w:rPr>
                <w:b/>
                <w:bCs/>
              </w:rPr>
              <w:t>Agency</w:t>
            </w:r>
          </w:p>
        </w:tc>
        <w:tc>
          <w:tcPr>
            <w:tcW w:w="2534" w:type="dxa"/>
            <w:vAlign w:val="center"/>
          </w:tcPr>
          <w:p w14:paraId="081F912E" w14:textId="77777777" w:rsidR="00274F5C" w:rsidRPr="00466AFC" w:rsidRDefault="00274F5C" w:rsidP="003311F7">
            <w:pPr>
              <w:spacing w:after="160" w:line="259" w:lineRule="auto"/>
              <w:rPr>
                <w:b/>
                <w:bCs/>
              </w:rPr>
            </w:pPr>
            <w:r w:rsidRPr="00466AFC">
              <w:rPr>
                <w:b/>
                <w:bCs/>
              </w:rPr>
              <w:t>Concentration</w:t>
            </w:r>
          </w:p>
        </w:tc>
        <w:tc>
          <w:tcPr>
            <w:tcW w:w="1711" w:type="dxa"/>
            <w:vAlign w:val="center"/>
          </w:tcPr>
          <w:p w14:paraId="3E1154D9" w14:textId="77777777" w:rsidR="00274F5C" w:rsidRPr="00466AFC" w:rsidRDefault="00274F5C" w:rsidP="003311F7">
            <w:pPr>
              <w:spacing w:after="160" w:line="259" w:lineRule="auto"/>
              <w:rPr>
                <w:b/>
                <w:bCs/>
              </w:rPr>
            </w:pPr>
            <w:r w:rsidRPr="00466AFC">
              <w:rPr>
                <w:b/>
                <w:bCs/>
              </w:rPr>
              <w:t>Permitted exceedances per year</w:t>
            </w:r>
          </w:p>
        </w:tc>
      </w:tr>
      <w:tr w:rsidR="00274F5C" w:rsidRPr="00466AFC" w14:paraId="58F34F91" w14:textId="77777777" w:rsidTr="003311F7">
        <w:tc>
          <w:tcPr>
            <w:tcW w:w="1703" w:type="dxa"/>
            <w:vMerge w:val="restart"/>
            <w:vAlign w:val="center"/>
          </w:tcPr>
          <w:p w14:paraId="67C4C2B5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PM</w:t>
            </w:r>
            <w:r w:rsidRPr="00466AFC">
              <w:rPr>
                <w:vertAlign w:val="subscript"/>
              </w:rPr>
              <w:t>2.5</w:t>
            </w:r>
          </w:p>
        </w:tc>
        <w:tc>
          <w:tcPr>
            <w:tcW w:w="1985" w:type="dxa"/>
            <w:vMerge w:val="restart"/>
            <w:vAlign w:val="center"/>
          </w:tcPr>
          <w:p w14:paraId="026E8FEB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Yearly</w:t>
            </w:r>
          </w:p>
        </w:tc>
        <w:tc>
          <w:tcPr>
            <w:tcW w:w="1083" w:type="dxa"/>
            <w:vAlign w:val="center"/>
          </w:tcPr>
          <w:p w14:paraId="6693EF01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5444E1E4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25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</w:tcPr>
          <w:p w14:paraId="719AC137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N/A</w:t>
            </w:r>
          </w:p>
        </w:tc>
      </w:tr>
      <w:tr w:rsidR="00274F5C" w:rsidRPr="00466AFC" w14:paraId="6387C7E5" w14:textId="77777777" w:rsidTr="003311F7">
        <w:tc>
          <w:tcPr>
            <w:tcW w:w="1703" w:type="dxa"/>
            <w:vMerge/>
            <w:vAlign w:val="center"/>
          </w:tcPr>
          <w:p w14:paraId="09405FCC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/>
            <w:vAlign w:val="center"/>
          </w:tcPr>
          <w:p w14:paraId="05A7BABA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083" w:type="dxa"/>
            <w:vAlign w:val="center"/>
          </w:tcPr>
          <w:p w14:paraId="0EB32C18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0AAF42E1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10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</w:tcPr>
          <w:p w14:paraId="00A56106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N/A</w:t>
            </w:r>
          </w:p>
        </w:tc>
      </w:tr>
      <w:tr w:rsidR="00274F5C" w:rsidRPr="00466AFC" w14:paraId="6A3CA7E1" w14:textId="77777777" w:rsidTr="003311F7">
        <w:tc>
          <w:tcPr>
            <w:tcW w:w="1703" w:type="dxa"/>
            <w:vMerge/>
            <w:vAlign w:val="center"/>
          </w:tcPr>
          <w:p w14:paraId="6B0C762E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 w:val="restart"/>
            <w:vAlign w:val="center"/>
          </w:tcPr>
          <w:p w14:paraId="581EADC8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Daily</w:t>
            </w:r>
          </w:p>
        </w:tc>
        <w:tc>
          <w:tcPr>
            <w:tcW w:w="1083" w:type="dxa"/>
            <w:vAlign w:val="center"/>
          </w:tcPr>
          <w:p w14:paraId="2BFDC13A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40EA934E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N/A</w:t>
            </w:r>
          </w:p>
        </w:tc>
        <w:tc>
          <w:tcPr>
            <w:tcW w:w="1711" w:type="dxa"/>
            <w:vAlign w:val="center"/>
          </w:tcPr>
          <w:p w14:paraId="0221EAE3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N/A</w:t>
            </w:r>
          </w:p>
        </w:tc>
      </w:tr>
      <w:tr w:rsidR="00274F5C" w:rsidRPr="00466AFC" w14:paraId="1D6361D7" w14:textId="77777777" w:rsidTr="003311F7">
        <w:tc>
          <w:tcPr>
            <w:tcW w:w="1703" w:type="dxa"/>
            <w:vMerge/>
            <w:vAlign w:val="center"/>
          </w:tcPr>
          <w:p w14:paraId="34016365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/>
            <w:vAlign w:val="center"/>
          </w:tcPr>
          <w:p w14:paraId="344EDF73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083" w:type="dxa"/>
            <w:vAlign w:val="center"/>
          </w:tcPr>
          <w:p w14:paraId="50DF1CBD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1A5E4FF6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25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</w:tcPr>
          <w:p w14:paraId="2F2E46EB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None</w:t>
            </w:r>
          </w:p>
        </w:tc>
      </w:tr>
      <w:tr w:rsidR="00274F5C" w:rsidRPr="00466AFC" w14:paraId="0930F7D9" w14:textId="77777777" w:rsidTr="003311F7">
        <w:tc>
          <w:tcPr>
            <w:tcW w:w="1703" w:type="dxa"/>
            <w:vMerge w:val="restart"/>
            <w:vAlign w:val="center"/>
          </w:tcPr>
          <w:p w14:paraId="08AD3EFD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PM</w:t>
            </w:r>
            <w:r w:rsidRPr="00466AFC">
              <w:rPr>
                <w:vertAlign w:val="subscript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14:paraId="79562721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Yearly</w:t>
            </w:r>
          </w:p>
        </w:tc>
        <w:tc>
          <w:tcPr>
            <w:tcW w:w="1083" w:type="dxa"/>
            <w:vAlign w:val="center"/>
          </w:tcPr>
          <w:p w14:paraId="7928182B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12341B24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40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</w:tcPr>
          <w:p w14:paraId="7401EEBE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N/A</w:t>
            </w:r>
          </w:p>
        </w:tc>
      </w:tr>
      <w:tr w:rsidR="00274F5C" w:rsidRPr="00466AFC" w14:paraId="303A5C7D" w14:textId="77777777" w:rsidTr="003311F7">
        <w:tc>
          <w:tcPr>
            <w:tcW w:w="1703" w:type="dxa"/>
            <w:vMerge/>
            <w:vAlign w:val="center"/>
          </w:tcPr>
          <w:p w14:paraId="36A0E705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/>
            <w:vAlign w:val="center"/>
          </w:tcPr>
          <w:p w14:paraId="55CB8494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083" w:type="dxa"/>
            <w:vAlign w:val="center"/>
          </w:tcPr>
          <w:p w14:paraId="7BAA12D4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46A152E4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20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</w:tcPr>
          <w:p w14:paraId="35F5C2AE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N/A</w:t>
            </w:r>
          </w:p>
        </w:tc>
      </w:tr>
      <w:tr w:rsidR="00274F5C" w:rsidRPr="00466AFC" w14:paraId="7094D2CF" w14:textId="77777777" w:rsidTr="003311F7">
        <w:tc>
          <w:tcPr>
            <w:tcW w:w="1703" w:type="dxa"/>
            <w:vMerge/>
            <w:vAlign w:val="center"/>
          </w:tcPr>
          <w:p w14:paraId="49FAE1A1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 w:val="restart"/>
            <w:vAlign w:val="center"/>
          </w:tcPr>
          <w:p w14:paraId="38AEBC80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Daily</w:t>
            </w:r>
          </w:p>
        </w:tc>
        <w:tc>
          <w:tcPr>
            <w:tcW w:w="1083" w:type="dxa"/>
            <w:vAlign w:val="center"/>
          </w:tcPr>
          <w:p w14:paraId="22823A44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79020C48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50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E9E0E3B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35</w:t>
            </w:r>
          </w:p>
        </w:tc>
      </w:tr>
      <w:tr w:rsidR="00274F5C" w:rsidRPr="00466AFC" w14:paraId="42A9C9CD" w14:textId="77777777" w:rsidTr="003311F7">
        <w:tc>
          <w:tcPr>
            <w:tcW w:w="1703" w:type="dxa"/>
            <w:vMerge/>
            <w:vAlign w:val="center"/>
          </w:tcPr>
          <w:p w14:paraId="18684630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/>
            <w:vAlign w:val="center"/>
          </w:tcPr>
          <w:p w14:paraId="735963FE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083" w:type="dxa"/>
            <w:vAlign w:val="center"/>
          </w:tcPr>
          <w:p w14:paraId="475E0F31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7E79B7D1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50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1E8DD825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None</w:t>
            </w:r>
          </w:p>
        </w:tc>
      </w:tr>
      <w:tr w:rsidR="00274F5C" w:rsidRPr="00466AFC" w14:paraId="0788FC1F" w14:textId="77777777" w:rsidTr="003311F7">
        <w:tc>
          <w:tcPr>
            <w:tcW w:w="1703" w:type="dxa"/>
            <w:vMerge w:val="restart"/>
            <w:vAlign w:val="center"/>
          </w:tcPr>
          <w:p w14:paraId="06AF8675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NO</w:t>
            </w:r>
            <w:r w:rsidRPr="00466AFC">
              <w:rPr>
                <w:vertAlign w:val="subscript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16C5E6D6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Yearly</w:t>
            </w:r>
          </w:p>
        </w:tc>
        <w:tc>
          <w:tcPr>
            <w:tcW w:w="1083" w:type="dxa"/>
            <w:vAlign w:val="center"/>
          </w:tcPr>
          <w:p w14:paraId="4135594A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36AF328B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40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</w:tcPr>
          <w:p w14:paraId="7A32BCFC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N/A</w:t>
            </w:r>
          </w:p>
        </w:tc>
      </w:tr>
      <w:tr w:rsidR="00274F5C" w:rsidRPr="00466AFC" w14:paraId="44EB2C82" w14:textId="77777777" w:rsidTr="003311F7">
        <w:tc>
          <w:tcPr>
            <w:tcW w:w="1703" w:type="dxa"/>
            <w:vMerge/>
            <w:vAlign w:val="center"/>
          </w:tcPr>
          <w:p w14:paraId="2D3CEC62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/>
            <w:vAlign w:val="center"/>
          </w:tcPr>
          <w:p w14:paraId="15452B25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083" w:type="dxa"/>
            <w:vAlign w:val="center"/>
          </w:tcPr>
          <w:p w14:paraId="1994DF1E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7F404FF8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40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</w:tcPr>
          <w:p w14:paraId="6148E7A2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N/A</w:t>
            </w:r>
          </w:p>
        </w:tc>
      </w:tr>
      <w:tr w:rsidR="00274F5C" w:rsidRPr="00466AFC" w14:paraId="14BCC030" w14:textId="77777777" w:rsidTr="003311F7">
        <w:tc>
          <w:tcPr>
            <w:tcW w:w="1703" w:type="dxa"/>
            <w:vMerge/>
            <w:vAlign w:val="center"/>
          </w:tcPr>
          <w:p w14:paraId="0D175E55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 w:val="restart"/>
            <w:vAlign w:val="center"/>
          </w:tcPr>
          <w:p w14:paraId="548A93F5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Hourly</w:t>
            </w:r>
          </w:p>
        </w:tc>
        <w:tc>
          <w:tcPr>
            <w:tcW w:w="1083" w:type="dxa"/>
            <w:vAlign w:val="center"/>
          </w:tcPr>
          <w:p w14:paraId="635AF6DE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33BD8CD3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200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09D03CE5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18</w:t>
            </w:r>
          </w:p>
        </w:tc>
      </w:tr>
      <w:tr w:rsidR="00274F5C" w:rsidRPr="00466AFC" w14:paraId="02D316D7" w14:textId="77777777" w:rsidTr="003311F7">
        <w:tc>
          <w:tcPr>
            <w:tcW w:w="1703" w:type="dxa"/>
            <w:vMerge/>
            <w:vAlign w:val="center"/>
          </w:tcPr>
          <w:p w14:paraId="28259E3F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/>
            <w:vAlign w:val="center"/>
          </w:tcPr>
          <w:p w14:paraId="4634A231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083" w:type="dxa"/>
            <w:vAlign w:val="center"/>
          </w:tcPr>
          <w:p w14:paraId="6C3EFA54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47166220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200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40BF37F9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None</w:t>
            </w:r>
          </w:p>
        </w:tc>
      </w:tr>
      <w:tr w:rsidR="00274F5C" w:rsidRPr="00466AFC" w14:paraId="1E670D50" w14:textId="77777777" w:rsidTr="003311F7">
        <w:tc>
          <w:tcPr>
            <w:tcW w:w="1703" w:type="dxa"/>
            <w:vMerge w:val="restart"/>
            <w:vAlign w:val="center"/>
          </w:tcPr>
          <w:p w14:paraId="771FDF3D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SO</w:t>
            </w:r>
            <w:r w:rsidRPr="00466AFC">
              <w:rPr>
                <w:vertAlign w:val="subscript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1CC41CA7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Daily</w:t>
            </w:r>
          </w:p>
        </w:tc>
        <w:tc>
          <w:tcPr>
            <w:tcW w:w="1083" w:type="dxa"/>
            <w:vAlign w:val="center"/>
          </w:tcPr>
          <w:p w14:paraId="2A8BF608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566A4FB2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125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478041BF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3</w:t>
            </w:r>
          </w:p>
        </w:tc>
      </w:tr>
      <w:tr w:rsidR="00274F5C" w:rsidRPr="00466AFC" w14:paraId="7A0E61AC" w14:textId="77777777" w:rsidTr="003311F7">
        <w:tc>
          <w:tcPr>
            <w:tcW w:w="1703" w:type="dxa"/>
            <w:vMerge/>
            <w:vAlign w:val="center"/>
          </w:tcPr>
          <w:p w14:paraId="72767021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/>
            <w:vAlign w:val="center"/>
          </w:tcPr>
          <w:p w14:paraId="44B8996D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083" w:type="dxa"/>
            <w:vAlign w:val="center"/>
          </w:tcPr>
          <w:p w14:paraId="78E2B2C0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2BF06CE2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20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418DDAC4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None</w:t>
            </w:r>
          </w:p>
        </w:tc>
      </w:tr>
      <w:tr w:rsidR="00274F5C" w:rsidRPr="00466AFC" w14:paraId="1C6A7062" w14:textId="77777777" w:rsidTr="003311F7">
        <w:tc>
          <w:tcPr>
            <w:tcW w:w="1703" w:type="dxa"/>
            <w:vMerge/>
            <w:vAlign w:val="center"/>
          </w:tcPr>
          <w:p w14:paraId="14C606D6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Align w:val="center"/>
          </w:tcPr>
          <w:p w14:paraId="0C010342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Hourly</w:t>
            </w:r>
          </w:p>
        </w:tc>
        <w:tc>
          <w:tcPr>
            <w:tcW w:w="1083" w:type="dxa"/>
            <w:vAlign w:val="center"/>
          </w:tcPr>
          <w:p w14:paraId="1DE6A158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33C86072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350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2928C716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24</w:t>
            </w:r>
          </w:p>
        </w:tc>
      </w:tr>
      <w:tr w:rsidR="00274F5C" w:rsidRPr="00466AFC" w14:paraId="42A14FD9" w14:textId="77777777" w:rsidTr="003311F7">
        <w:tc>
          <w:tcPr>
            <w:tcW w:w="1703" w:type="dxa"/>
            <w:vMerge/>
            <w:vAlign w:val="center"/>
          </w:tcPr>
          <w:p w14:paraId="3A662DD4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Align w:val="center"/>
          </w:tcPr>
          <w:p w14:paraId="7CF8E9C4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10-minute mean</w:t>
            </w:r>
          </w:p>
        </w:tc>
        <w:tc>
          <w:tcPr>
            <w:tcW w:w="1083" w:type="dxa"/>
            <w:vAlign w:val="center"/>
          </w:tcPr>
          <w:p w14:paraId="742CF68A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7BFB1386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500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6A290492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None</w:t>
            </w:r>
          </w:p>
        </w:tc>
      </w:tr>
      <w:tr w:rsidR="00274F5C" w:rsidRPr="00466AFC" w14:paraId="5636B02E" w14:textId="77777777" w:rsidTr="003311F7">
        <w:tc>
          <w:tcPr>
            <w:tcW w:w="1703" w:type="dxa"/>
            <w:vMerge w:val="restart"/>
            <w:vAlign w:val="center"/>
          </w:tcPr>
          <w:p w14:paraId="41810682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Ozone</w:t>
            </w:r>
          </w:p>
        </w:tc>
        <w:tc>
          <w:tcPr>
            <w:tcW w:w="1985" w:type="dxa"/>
            <w:vMerge w:val="restart"/>
            <w:vAlign w:val="center"/>
          </w:tcPr>
          <w:p w14:paraId="0DE3786E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Maximum daily 8 hour mean</w:t>
            </w:r>
          </w:p>
        </w:tc>
        <w:tc>
          <w:tcPr>
            <w:tcW w:w="1083" w:type="dxa"/>
            <w:vAlign w:val="center"/>
          </w:tcPr>
          <w:p w14:paraId="6A8FC736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EU</w:t>
            </w:r>
          </w:p>
        </w:tc>
        <w:tc>
          <w:tcPr>
            <w:tcW w:w="2534" w:type="dxa"/>
            <w:vAlign w:val="center"/>
          </w:tcPr>
          <w:p w14:paraId="28DA45C0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120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8B29623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25 days averaged over 3 years</w:t>
            </w:r>
          </w:p>
        </w:tc>
      </w:tr>
      <w:tr w:rsidR="00274F5C" w:rsidRPr="00466AFC" w14:paraId="3EF9D0F0" w14:textId="77777777" w:rsidTr="003311F7">
        <w:tc>
          <w:tcPr>
            <w:tcW w:w="1703" w:type="dxa"/>
            <w:vMerge/>
            <w:vAlign w:val="center"/>
          </w:tcPr>
          <w:p w14:paraId="0B11AB08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985" w:type="dxa"/>
            <w:vMerge/>
            <w:vAlign w:val="center"/>
          </w:tcPr>
          <w:p w14:paraId="3FDB0EF9" w14:textId="77777777" w:rsidR="00274F5C" w:rsidRPr="00466AFC" w:rsidRDefault="00274F5C" w:rsidP="003311F7">
            <w:pPr>
              <w:spacing w:after="160" w:line="259" w:lineRule="auto"/>
            </w:pPr>
          </w:p>
        </w:tc>
        <w:tc>
          <w:tcPr>
            <w:tcW w:w="1083" w:type="dxa"/>
            <w:vAlign w:val="center"/>
          </w:tcPr>
          <w:p w14:paraId="51DA41B8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WHO</w:t>
            </w:r>
          </w:p>
        </w:tc>
        <w:tc>
          <w:tcPr>
            <w:tcW w:w="2534" w:type="dxa"/>
            <w:vAlign w:val="center"/>
          </w:tcPr>
          <w:p w14:paraId="3D1812D3" w14:textId="77777777" w:rsidR="00274F5C" w:rsidRPr="00466AFC" w:rsidRDefault="00274F5C" w:rsidP="003311F7">
            <w:pPr>
              <w:spacing w:after="160" w:line="259" w:lineRule="auto"/>
            </w:pPr>
            <w:r w:rsidRPr="00466AFC">
              <w:t>100 μg/m</w:t>
            </w:r>
            <w:r w:rsidRPr="00466AFC">
              <w:rPr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F970077" w14:textId="77777777" w:rsidR="00274F5C" w:rsidRPr="00466AFC" w:rsidRDefault="00274F5C" w:rsidP="003311F7">
            <w:pPr>
              <w:keepNext/>
              <w:spacing w:after="160" w:line="259" w:lineRule="auto"/>
            </w:pPr>
            <w:r w:rsidRPr="00466AFC">
              <w:t>None</w:t>
            </w:r>
          </w:p>
        </w:tc>
      </w:tr>
    </w:tbl>
    <w:p w14:paraId="3DCFD62F" w14:textId="77777777" w:rsidR="00274F5C" w:rsidRDefault="00274F5C" w:rsidP="00274F5C">
      <w:pPr>
        <w:pStyle w:val="Caption"/>
      </w:pPr>
      <w:bookmarkStart w:id="0" w:name="_Ref40277471"/>
      <w:r>
        <w:t xml:space="preserve">Supplemental Table </w:t>
      </w:r>
      <w:r>
        <w:fldChar w:fldCharType="begin"/>
      </w:r>
      <w:r>
        <w:instrText xml:space="preserve"> SEQ Supplemental_Table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 xml:space="preserve">: </w:t>
      </w:r>
      <w:r w:rsidRPr="00D25AFA">
        <w:t>European Union and World Health Organisation limits for air pollutants (2019)</w:t>
      </w:r>
    </w:p>
    <w:p w14:paraId="02A354B5" w14:textId="7AD79A7A" w:rsidR="00274F5C" w:rsidRDefault="00274F5C">
      <w:r>
        <w:br w:type="page"/>
      </w:r>
    </w:p>
    <w:p w14:paraId="3A055692" w14:textId="77777777" w:rsidR="00274F5C" w:rsidRDefault="00274F5C" w:rsidP="00274F5C">
      <w:pPr>
        <w:keepNext/>
      </w:pPr>
      <w:r>
        <w:rPr>
          <w:noProof/>
        </w:rPr>
        <w:lastRenderedPageBreak/>
        <w:drawing>
          <wp:inline distT="0" distB="0" distL="0" distR="0" wp14:anchorId="45A3D218" wp14:editId="38BFB6B7">
            <wp:extent cx="5731510" cy="41681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 Lag 02 Spr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EF36" w14:textId="77777777" w:rsidR="00274F5C" w:rsidRDefault="00274F5C" w:rsidP="00274F5C">
      <w:pPr>
        <w:pStyle w:val="Caption"/>
      </w:pPr>
      <w:bookmarkStart w:id="1" w:name="_Ref40277540"/>
      <w:r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>
        <w:t xml:space="preserve">: </w:t>
      </w:r>
      <w:r w:rsidRPr="00D2721B">
        <w:t>Single-pollutant models for the impact of IQR changes in pollution levels for all stroke cases (Stroke) and ischaemic stroke cases (</w:t>
      </w:r>
      <w:proofErr w:type="spellStart"/>
      <w:r w:rsidRPr="00D2721B">
        <w:t>Isch</w:t>
      </w:r>
      <w:proofErr w:type="spellEnd"/>
      <w:r w:rsidRPr="00D2721B">
        <w:t xml:space="preserve"> Stroke) in Dublin (Dub), Cork, and both areas together at lag 0-2 days during Spring. Relative risks (blue dots) </w:t>
      </w:r>
      <w:r>
        <w:rPr>
          <w:noProof/>
        </w:rPr>
        <w:t>and 95% confidence intervals (red vertical lines).</w:t>
      </w:r>
    </w:p>
    <w:p w14:paraId="3C4E40D1" w14:textId="2DD155B6" w:rsidR="00274F5C" w:rsidRDefault="00274F5C">
      <w:r>
        <w:br w:type="page"/>
      </w:r>
    </w:p>
    <w:p w14:paraId="7C941622" w14:textId="77777777" w:rsidR="00274F5C" w:rsidRDefault="00274F5C" w:rsidP="00274F5C">
      <w:pPr>
        <w:keepNext/>
      </w:pPr>
      <w:r>
        <w:rPr>
          <w:noProof/>
        </w:rPr>
        <w:lastRenderedPageBreak/>
        <w:drawing>
          <wp:inline distT="0" distB="0" distL="0" distR="0" wp14:anchorId="2B1F017F" wp14:editId="5F891FE1">
            <wp:extent cx="5731510" cy="41681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 Lag 02 Summ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FE20" w14:textId="77777777" w:rsidR="00274F5C" w:rsidRDefault="00274F5C" w:rsidP="00274F5C">
      <w:pPr>
        <w:pStyle w:val="Caption"/>
      </w:pPr>
      <w:bookmarkStart w:id="2" w:name="_Ref40277565"/>
      <w:r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2"/>
      <w:r>
        <w:t>:</w:t>
      </w:r>
      <w:r w:rsidRPr="004D104C">
        <w:t xml:space="preserve"> Single-pollutant models for the impact of IQR changes in pollution levels for all stroke cases (Stroke) and ischaemic stroke cases (</w:t>
      </w:r>
      <w:proofErr w:type="spellStart"/>
      <w:r w:rsidRPr="004D104C">
        <w:t>Isch</w:t>
      </w:r>
      <w:proofErr w:type="spellEnd"/>
      <w:r w:rsidRPr="004D104C">
        <w:t xml:space="preserve"> Stroke) in Dublin (Dub), Cork, and both areas together at lag 0-2 days during Summer. Relative risks </w:t>
      </w:r>
      <w:r w:rsidRPr="00E13CA8">
        <w:t xml:space="preserve">(blue dots) </w:t>
      </w:r>
      <w:r>
        <w:rPr>
          <w:noProof/>
        </w:rPr>
        <w:t>and 95% confidence intervals (red vertical lines).</w:t>
      </w:r>
    </w:p>
    <w:p w14:paraId="52D1E8AE" w14:textId="2A98E42A" w:rsidR="00274F5C" w:rsidRDefault="00274F5C">
      <w:r>
        <w:br w:type="page"/>
      </w:r>
    </w:p>
    <w:p w14:paraId="7CCFC9A0" w14:textId="77777777" w:rsidR="00274F5C" w:rsidRDefault="00274F5C" w:rsidP="00274F5C">
      <w:pPr>
        <w:keepNext/>
      </w:pPr>
      <w:r>
        <w:rPr>
          <w:noProof/>
        </w:rPr>
        <w:lastRenderedPageBreak/>
        <w:drawing>
          <wp:inline distT="0" distB="0" distL="0" distR="0" wp14:anchorId="4F2E8DB8" wp14:editId="47FF9905">
            <wp:extent cx="5731510" cy="41681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 Lag 02 Autum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EB52" w14:textId="77777777" w:rsidR="00274F5C" w:rsidRDefault="00274F5C" w:rsidP="00274F5C">
      <w:pPr>
        <w:pStyle w:val="Caption"/>
      </w:pPr>
      <w:bookmarkStart w:id="3" w:name="_Ref40277580"/>
      <w:r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3"/>
      <w:r>
        <w:t xml:space="preserve">: </w:t>
      </w:r>
      <w:r w:rsidRPr="00BD0C91">
        <w:t>Single-pollutant models for the impact of IQR changes in pollution levels for all stroke cases (Stroke) and ischaemic stroke cases (</w:t>
      </w:r>
      <w:proofErr w:type="spellStart"/>
      <w:r w:rsidRPr="00BD0C91">
        <w:t>Isch</w:t>
      </w:r>
      <w:proofErr w:type="spellEnd"/>
      <w:r w:rsidRPr="00BD0C91">
        <w:t xml:space="preserve"> Stroke) in Dublin (Dub), Cork, and both areas together at lag 0-2 days during Autumn. Relative risks (blu</w:t>
      </w:r>
      <w:r w:rsidRPr="00A22363">
        <w:rPr>
          <w:i w:val="0"/>
          <w:iCs w:val="0"/>
        </w:rPr>
        <w:t>e dots) and 95% confidence intervals (red vertical lines).</w:t>
      </w:r>
    </w:p>
    <w:p w14:paraId="4675E88A" w14:textId="77777777" w:rsidR="00274F5C" w:rsidRDefault="00274F5C"/>
    <w:sectPr w:rsidR="0027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5C"/>
    <w:rsid w:val="002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06E6"/>
  <w15:chartTrackingRefBased/>
  <w15:docId w15:val="{38D165BA-DC8C-43BB-9812-3131324A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4F5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Byrne</dc:creator>
  <cp:keywords/>
  <dc:description/>
  <cp:lastModifiedBy>Colm Byrne</cp:lastModifiedBy>
  <cp:revision>1</cp:revision>
  <dcterms:created xsi:type="dcterms:W3CDTF">2020-05-14T13:38:00Z</dcterms:created>
  <dcterms:modified xsi:type="dcterms:W3CDTF">2020-05-14T13:42:00Z</dcterms:modified>
</cp:coreProperties>
</file>