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4C5A" w14:textId="10F3BBC5" w:rsidR="00C04908" w:rsidRPr="00824880" w:rsidRDefault="00C04908" w:rsidP="00C04908">
      <w:pPr>
        <w:spacing w:line="480" w:lineRule="auto"/>
        <w:rPr>
          <w:b/>
          <w:sz w:val="28"/>
          <w:szCs w:val="28"/>
          <w:lang w:val="en-GB"/>
        </w:rPr>
      </w:pPr>
      <w:r w:rsidRPr="00824880">
        <w:rPr>
          <w:b/>
          <w:sz w:val="28"/>
          <w:szCs w:val="28"/>
          <w:lang w:val="en-GB"/>
        </w:rPr>
        <w:t>Materials and Methods</w:t>
      </w:r>
    </w:p>
    <w:p w14:paraId="0081E6B3" w14:textId="0470125A" w:rsidR="00C04908" w:rsidRPr="00824880" w:rsidRDefault="00C04908" w:rsidP="00C04908">
      <w:pPr>
        <w:spacing w:line="480" w:lineRule="auto"/>
        <w:rPr>
          <w:i/>
          <w:lang w:val="en-GB"/>
        </w:rPr>
      </w:pPr>
      <w:r w:rsidRPr="00824880">
        <w:rPr>
          <w:i/>
          <w:lang w:val="en-GB"/>
        </w:rPr>
        <w:t xml:space="preserve">Cell </w:t>
      </w:r>
      <w:r w:rsidR="003A2ECF" w:rsidRPr="00824880">
        <w:rPr>
          <w:i/>
          <w:lang w:val="en-GB"/>
        </w:rPr>
        <w:t>Lines</w:t>
      </w:r>
    </w:p>
    <w:p w14:paraId="127C17E1" w14:textId="43F4DEAF" w:rsidR="00C04908" w:rsidRPr="00824880" w:rsidRDefault="003A2ECF" w:rsidP="00C04908">
      <w:pPr>
        <w:spacing w:line="480" w:lineRule="auto"/>
        <w:rPr>
          <w:lang w:val="en-GB"/>
        </w:rPr>
      </w:pPr>
      <w:r w:rsidRPr="00824880">
        <w:rPr>
          <w:lang w:val="en-GB"/>
        </w:rPr>
        <w:t xml:space="preserve">An </w:t>
      </w:r>
      <w:r w:rsidR="00C04908" w:rsidRPr="00824880">
        <w:rPr>
          <w:lang w:val="en-GB"/>
        </w:rPr>
        <w:t>MF-derived malignant T</w:t>
      </w:r>
      <w:r w:rsidRPr="00824880">
        <w:rPr>
          <w:lang w:val="en-GB"/>
        </w:rPr>
        <w:t>-</w:t>
      </w:r>
      <w:r w:rsidR="00C04908" w:rsidRPr="00824880">
        <w:rPr>
          <w:lang w:val="en-GB"/>
        </w:rPr>
        <w:t>cell line (MyLa2059) and ALCL-derived malignant T</w:t>
      </w:r>
      <w:r w:rsidRPr="00824880">
        <w:rPr>
          <w:lang w:val="en-GB"/>
        </w:rPr>
        <w:t>-</w:t>
      </w:r>
      <w:r w:rsidR="00C04908" w:rsidRPr="00824880">
        <w:rPr>
          <w:lang w:val="en-GB"/>
        </w:rPr>
        <w:t>cell lines (Mac-1, PB2B, Mac2A) were cultured in full media containing RPMI</w:t>
      </w:r>
      <w:r w:rsidRPr="00824880">
        <w:rPr>
          <w:lang w:val="en-GB"/>
        </w:rPr>
        <w:t>-</w:t>
      </w:r>
      <w:r w:rsidR="00C04908" w:rsidRPr="00824880">
        <w:rPr>
          <w:lang w:val="en-GB"/>
        </w:rPr>
        <w:t>1640, 100</w:t>
      </w:r>
      <w:r w:rsidRPr="00824880">
        <w:rPr>
          <w:lang w:val="en-GB"/>
        </w:rPr>
        <w:t xml:space="preserve"> </w:t>
      </w:r>
      <w:r w:rsidR="00C04908" w:rsidRPr="00824880">
        <w:rPr>
          <w:lang w:val="en-GB"/>
        </w:rPr>
        <w:t xml:space="preserve">mg/ml penicillin/streptomycin (P/S) and 10% </w:t>
      </w:r>
      <w:proofErr w:type="spellStart"/>
      <w:r w:rsidR="00C04908" w:rsidRPr="00824880">
        <w:rPr>
          <w:lang w:val="en-GB"/>
        </w:rPr>
        <w:t>fetal</w:t>
      </w:r>
      <w:proofErr w:type="spellEnd"/>
      <w:r w:rsidR="00C04908" w:rsidRPr="00824880">
        <w:rPr>
          <w:lang w:val="en-GB"/>
        </w:rPr>
        <w:t xml:space="preserve"> bovine serum (FBS) [28]. The </w:t>
      </w:r>
      <w:proofErr w:type="spellStart"/>
      <w:r w:rsidR="00C04908" w:rsidRPr="00824880">
        <w:rPr>
          <w:lang w:val="en-GB"/>
        </w:rPr>
        <w:t>S</w:t>
      </w:r>
      <w:r w:rsidRPr="00824880">
        <w:rPr>
          <w:lang w:val="en-GB"/>
        </w:rPr>
        <w:t>é</w:t>
      </w:r>
      <w:r w:rsidR="00C04908" w:rsidRPr="00824880">
        <w:rPr>
          <w:lang w:val="en-GB"/>
        </w:rPr>
        <w:t>zary</w:t>
      </w:r>
      <w:proofErr w:type="spellEnd"/>
      <w:r w:rsidR="00C04908" w:rsidRPr="00824880">
        <w:rPr>
          <w:lang w:val="en-GB"/>
        </w:rPr>
        <w:t xml:space="preserve"> syndrome (SS)- derived malignant T</w:t>
      </w:r>
      <w:r w:rsidRPr="00824880">
        <w:rPr>
          <w:lang w:val="en-GB"/>
        </w:rPr>
        <w:t>-</w:t>
      </w:r>
      <w:r w:rsidR="00C04908" w:rsidRPr="00824880">
        <w:rPr>
          <w:lang w:val="en-GB"/>
        </w:rPr>
        <w:t xml:space="preserve">cell lines </w:t>
      </w:r>
      <w:proofErr w:type="spellStart"/>
      <w:r w:rsidR="00C04908" w:rsidRPr="00824880">
        <w:rPr>
          <w:lang w:val="en-GB"/>
        </w:rPr>
        <w:t>SeAx</w:t>
      </w:r>
      <w:proofErr w:type="spellEnd"/>
      <w:r w:rsidRPr="00824880">
        <w:rPr>
          <w:lang w:val="en-GB"/>
        </w:rPr>
        <w:t xml:space="preserve"> and</w:t>
      </w:r>
      <w:r w:rsidR="00C04908" w:rsidRPr="00824880">
        <w:rPr>
          <w:lang w:val="en-GB"/>
        </w:rPr>
        <w:t xml:space="preserve"> Sez4 were cultured in RPMI</w:t>
      </w:r>
      <w:r w:rsidRPr="00824880">
        <w:rPr>
          <w:lang w:val="en-GB"/>
        </w:rPr>
        <w:t>-</w:t>
      </w:r>
      <w:r w:rsidR="00C04908" w:rsidRPr="00824880">
        <w:rPr>
          <w:lang w:val="en-GB"/>
        </w:rPr>
        <w:t>1640 with 100</w:t>
      </w:r>
      <w:r w:rsidRPr="00824880">
        <w:rPr>
          <w:lang w:val="en-GB"/>
        </w:rPr>
        <w:t xml:space="preserve"> </w:t>
      </w:r>
      <w:r w:rsidR="00C04908" w:rsidRPr="00824880">
        <w:rPr>
          <w:lang w:val="en-GB"/>
        </w:rPr>
        <w:t>mg/ml P/S, 10% human serum (HS</w:t>
      </w:r>
      <w:r w:rsidRPr="00824880">
        <w:rPr>
          <w:lang w:val="en-GB"/>
        </w:rPr>
        <w:t>;</w:t>
      </w:r>
      <w:r w:rsidR="00C04908" w:rsidRPr="00824880">
        <w:rPr>
          <w:lang w:val="en-GB"/>
        </w:rPr>
        <w:t xml:space="preserve"> </w:t>
      </w:r>
      <w:proofErr w:type="spellStart"/>
      <w:r w:rsidR="00C04908" w:rsidRPr="00824880">
        <w:rPr>
          <w:lang w:val="en-GB"/>
        </w:rPr>
        <w:t>Bloodbank</w:t>
      </w:r>
      <w:proofErr w:type="spellEnd"/>
      <w:r w:rsidR="00C04908" w:rsidRPr="00824880">
        <w:rPr>
          <w:lang w:val="en-GB"/>
        </w:rPr>
        <w:t>, Copenhagen University Hospital, Copenhagen, Denmark)</w:t>
      </w:r>
      <w:r w:rsidRPr="00824880">
        <w:rPr>
          <w:lang w:val="en-GB"/>
        </w:rPr>
        <w:t xml:space="preserve"> and</w:t>
      </w:r>
      <w:r w:rsidR="00C04908" w:rsidRPr="00824880">
        <w:rPr>
          <w:lang w:val="en-GB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10</m:t>
            </m:r>
          </m:e>
          <m:sup>
            <m:r>
              <w:rPr>
                <w:rFonts w:ascii="Cambria Math" w:hAnsi="Cambria Math"/>
                <w:lang w:val="en-GB"/>
              </w:rPr>
              <m:t>3</m:t>
            </m:r>
          </m:sup>
        </m:sSup>
      </m:oMath>
      <w:r w:rsidR="00C04908" w:rsidRPr="00824880">
        <w:rPr>
          <w:lang w:val="en-GB"/>
        </w:rPr>
        <w:t xml:space="preserve"> U/ml IL-2. The MF-derived non-malignant T</w:t>
      </w:r>
      <w:r w:rsidRPr="00824880">
        <w:rPr>
          <w:lang w:val="en-GB"/>
        </w:rPr>
        <w:t>-</w:t>
      </w:r>
      <w:r w:rsidR="00C04908" w:rsidRPr="00824880">
        <w:rPr>
          <w:lang w:val="en-GB"/>
        </w:rPr>
        <w:t>cell line MyLa1850 was cultured in RPMI</w:t>
      </w:r>
      <w:r w:rsidRPr="00824880">
        <w:rPr>
          <w:lang w:val="en-GB"/>
        </w:rPr>
        <w:t>-</w:t>
      </w:r>
      <w:r w:rsidR="00C04908" w:rsidRPr="00824880">
        <w:rPr>
          <w:lang w:val="en-GB"/>
        </w:rPr>
        <w:t>1640 with 100</w:t>
      </w:r>
      <w:r w:rsidRPr="00824880">
        <w:rPr>
          <w:lang w:val="en-GB"/>
        </w:rPr>
        <w:t xml:space="preserve"> </w:t>
      </w:r>
      <w:r w:rsidR="00C04908" w:rsidRPr="00824880">
        <w:rPr>
          <w:lang w:val="en-GB"/>
        </w:rPr>
        <w:t xml:space="preserve">mg/ml P/S, 10% HS,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10</m:t>
            </m:r>
          </m:e>
          <m:sup>
            <m:r>
              <w:rPr>
                <w:rFonts w:ascii="Cambria Math" w:hAnsi="Cambria Math"/>
                <w:lang w:val="en-GB"/>
              </w:rPr>
              <m:t>3</m:t>
            </m:r>
          </m:sup>
        </m:sSup>
      </m:oMath>
      <w:r w:rsidR="00C04908" w:rsidRPr="00824880">
        <w:rPr>
          <w:lang w:val="en-GB"/>
        </w:rPr>
        <w:t xml:space="preserve"> U/ml IL-2 and 2.5</w:t>
      </w:r>
      <w:r w:rsidRPr="00824880">
        <w:rPr>
          <w:lang w:val="en-GB"/>
        </w:rPr>
        <w:t xml:space="preserve"> </w:t>
      </w:r>
      <w:r w:rsidRPr="00824880">
        <w:rPr>
          <w:rFonts w:ascii="Arial" w:hAnsi="Arial" w:cs="Arial"/>
          <w:lang w:val="en-GB"/>
        </w:rPr>
        <w:t>×</w:t>
      </w:r>
      <w:r w:rsidR="00C04908" w:rsidRPr="00824880">
        <w:rPr>
          <w:lang w:val="en-GB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10</m:t>
            </m:r>
          </m:e>
          <m:sup>
            <m:r>
              <w:rPr>
                <w:rFonts w:ascii="Cambria Math" w:hAnsi="Cambria Math"/>
                <w:lang w:val="en-GB"/>
              </w:rPr>
              <m:t>3</m:t>
            </m:r>
          </m:sup>
        </m:sSup>
      </m:oMath>
      <w:r w:rsidRPr="00824880">
        <w:rPr>
          <w:lang w:val="en-GB"/>
        </w:rPr>
        <w:t xml:space="preserve"> </w:t>
      </w:r>
      <w:r w:rsidR="00C04908" w:rsidRPr="00824880">
        <w:rPr>
          <w:lang w:val="en-GB"/>
        </w:rPr>
        <w:t>U/ml IL-4.</w:t>
      </w:r>
    </w:p>
    <w:p w14:paraId="3DACC4B8" w14:textId="77777777" w:rsidR="00C04908" w:rsidRPr="00824880" w:rsidRDefault="00C04908" w:rsidP="00C04908">
      <w:pPr>
        <w:spacing w:line="480" w:lineRule="auto"/>
        <w:rPr>
          <w:lang w:val="en-GB"/>
        </w:rPr>
      </w:pPr>
    </w:p>
    <w:p w14:paraId="28038BBE" w14:textId="3C207423" w:rsidR="00C04908" w:rsidRPr="00824880" w:rsidRDefault="00C04908" w:rsidP="00C04908">
      <w:pPr>
        <w:spacing w:line="480" w:lineRule="auto"/>
        <w:rPr>
          <w:i/>
          <w:lang w:val="en-GB"/>
        </w:rPr>
      </w:pPr>
      <w:r w:rsidRPr="00824880">
        <w:rPr>
          <w:i/>
          <w:lang w:val="en-GB"/>
        </w:rPr>
        <w:t xml:space="preserve">Protein </w:t>
      </w:r>
      <w:r w:rsidR="003A2ECF" w:rsidRPr="00824880">
        <w:rPr>
          <w:i/>
          <w:lang w:val="en-GB"/>
        </w:rPr>
        <w:t xml:space="preserve">Extraction </w:t>
      </w:r>
      <w:r w:rsidRPr="00824880">
        <w:rPr>
          <w:i/>
          <w:lang w:val="en-GB"/>
        </w:rPr>
        <w:t xml:space="preserve">and </w:t>
      </w:r>
      <w:r w:rsidR="003A2ECF" w:rsidRPr="00824880">
        <w:rPr>
          <w:i/>
          <w:lang w:val="en-GB"/>
        </w:rPr>
        <w:t>Western Bl</w:t>
      </w:r>
      <w:r w:rsidRPr="00824880">
        <w:rPr>
          <w:i/>
          <w:lang w:val="en-GB"/>
        </w:rPr>
        <w:t>otting</w:t>
      </w:r>
    </w:p>
    <w:p w14:paraId="2B14BF5B" w14:textId="599599A8" w:rsidR="00C04908" w:rsidRPr="00824880" w:rsidRDefault="00C04908" w:rsidP="00C04908">
      <w:pPr>
        <w:spacing w:line="480" w:lineRule="auto"/>
        <w:rPr>
          <w:shd w:val="clear" w:color="auto" w:fill="FFFFFF"/>
          <w:lang w:val="en-GB"/>
        </w:rPr>
      </w:pPr>
      <w:r w:rsidRPr="00824880">
        <w:rPr>
          <w:shd w:val="clear" w:color="auto" w:fill="FFFFFF"/>
          <w:lang w:val="en-GB"/>
        </w:rPr>
        <w:t xml:space="preserve">Protein extraction and </w:t>
      </w:r>
      <w:r w:rsidR="003A2ECF" w:rsidRPr="00824880">
        <w:rPr>
          <w:shd w:val="clear" w:color="auto" w:fill="FFFFFF"/>
          <w:lang w:val="en-GB"/>
        </w:rPr>
        <w:t>W</w:t>
      </w:r>
      <w:r w:rsidRPr="00824880">
        <w:rPr>
          <w:shd w:val="clear" w:color="auto" w:fill="FFFFFF"/>
          <w:lang w:val="en-GB"/>
        </w:rPr>
        <w:t xml:space="preserve">estern blotting were performed as previously described </w:t>
      </w:r>
      <w:r w:rsidRPr="00824880">
        <w:rPr>
          <w:lang w:val="en-GB"/>
        </w:rPr>
        <w:t>[1, 2]</w:t>
      </w:r>
      <w:r w:rsidRPr="00824880">
        <w:rPr>
          <w:shd w:val="clear" w:color="auto" w:fill="FFFFFF"/>
          <w:lang w:val="en-GB"/>
        </w:rPr>
        <w:t xml:space="preserve">. Protein concentration was measured by </w:t>
      </w:r>
      <w:r w:rsidR="003A2ECF" w:rsidRPr="00824880">
        <w:rPr>
          <w:shd w:val="clear" w:color="auto" w:fill="FFFFFF"/>
          <w:lang w:val="en-GB"/>
        </w:rPr>
        <w:t xml:space="preserve">the </w:t>
      </w:r>
      <w:r w:rsidRPr="00824880">
        <w:rPr>
          <w:shd w:val="clear" w:color="auto" w:fill="FFFFFF"/>
          <w:lang w:val="en-GB"/>
        </w:rPr>
        <w:t>Bio-Rad protein assay (Bio-Rad, Hercules, CA</w:t>
      </w:r>
      <w:r w:rsidR="003A2ECF" w:rsidRPr="00824880">
        <w:rPr>
          <w:shd w:val="clear" w:color="auto" w:fill="FFFFFF"/>
          <w:lang w:val="en-GB"/>
        </w:rPr>
        <w:t>, USA</w:t>
      </w:r>
      <w:r w:rsidRPr="00824880">
        <w:rPr>
          <w:shd w:val="clear" w:color="auto" w:fill="FFFFFF"/>
          <w:lang w:val="en-GB"/>
        </w:rPr>
        <w:t xml:space="preserve">). </w:t>
      </w:r>
    </w:p>
    <w:p w14:paraId="55FDDCE6" w14:textId="29D76554" w:rsidR="00C04908" w:rsidRPr="00824880" w:rsidRDefault="00C04908" w:rsidP="00C04908">
      <w:pPr>
        <w:spacing w:line="480" w:lineRule="auto"/>
        <w:rPr>
          <w:shd w:val="clear" w:color="auto" w:fill="FFFFFF"/>
          <w:lang w:val="en-GB"/>
        </w:rPr>
      </w:pPr>
      <w:r w:rsidRPr="00824880">
        <w:rPr>
          <w:shd w:val="clear" w:color="auto" w:fill="FFFFFF"/>
          <w:lang w:val="en-GB"/>
        </w:rPr>
        <w:t>As primary antibodies were used mouse anti-TXNIP (1:500</w:t>
      </w:r>
      <w:r w:rsidR="003A2ECF" w:rsidRPr="00824880">
        <w:rPr>
          <w:shd w:val="clear" w:color="auto" w:fill="FFFFFF"/>
          <w:lang w:val="en-GB"/>
        </w:rPr>
        <w:t>;</w:t>
      </w:r>
      <w:r w:rsidRPr="00824880">
        <w:rPr>
          <w:shd w:val="clear" w:color="auto" w:fill="FFFFFF"/>
          <w:lang w:val="en-GB"/>
        </w:rPr>
        <w:t xml:space="preserve"> #K020503, MBL/Medical &amp; Biological Laboratories), mouse anti-GAPDH (1:10,000)</w:t>
      </w:r>
      <w:r w:rsidR="003A2ECF" w:rsidRPr="00824880">
        <w:rPr>
          <w:shd w:val="clear" w:color="auto" w:fill="FFFFFF"/>
          <w:lang w:val="en-GB"/>
        </w:rPr>
        <w:t xml:space="preserve"> and</w:t>
      </w:r>
      <w:r w:rsidRPr="00824880">
        <w:rPr>
          <w:shd w:val="clear" w:color="auto" w:fill="FFFFFF"/>
          <w:lang w:val="en-GB"/>
        </w:rPr>
        <w:t xml:space="preserve"> mouse anti-GFP (1:1</w:t>
      </w:r>
      <w:r w:rsidR="003A2ECF" w:rsidRPr="00824880">
        <w:rPr>
          <w:shd w:val="clear" w:color="auto" w:fill="FFFFFF"/>
          <w:lang w:val="en-GB"/>
        </w:rPr>
        <w:t>,</w:t>
      </w:r>
      <w:r w:rsidRPr="00824880">
        <w:rPr>
          <w:shd w:val="clear" w:color="auto" w:fill="FFFFFF"/>
          <w:lang w:val="en-GB"/>
        </w:rPr>
        <w:t>000</w:t>
      </w:r>
      <w:r w:rsidR="003A2ECF" w:rsidRPr="00824880">
        <w:rPr>
          <w:shd w:val="clear" w:color="auto" w:fill="FFFFFF"/>
          <w:lang w:val="en-GB"/>
        </w:rPr>
        <w:t>;</w:t>
      </w:r>
      <w:r w:rsidRPr="00824880">
        <w:rPr>
          <w:shd w:val="clear" w:color="auto" w:fill="FFFFFF"/>
          <w:lang w:val="en-GB"/>
        </w:rPr>
        <w:t xml:space="preserve"> </w:t>
      </w:r>
      <w:proofErr w:type="spellStart"/>
      <w:r w:rsidRPr="00824880">
        <w:rPr>
          <w:shd w:val="clear" w:color="auto" w:fill="FFFFFF"/>
          <w:lang w:val="en-GB"/>
        </w:rPr>
        <w:t>Clontech</w:t>
      </w:r>
      <w:proofErr w:type="spellEnd"/>
      <w:r w:rsidRPr="00824880">
        <w:rPr>
          <w:shd w:val="clear" w:color="auto" w:fill="FFFFFF"/>
          <w:lang w:val="en-GB"/>
        </w:rPr>
        <w:t>, France). Secondary antibodies used were HRP-conjugated polyclonal rabbit anti-mouse Ig (1:2</w:t>
      </w:r>
      <w:r w:rsidR="003A2ECF" w:rsidRPr="00824880">
        <w:rPr>
          <w:shd w:val="clear" w:color="auto" w:fill="FFFFFF"/>
          <w:lang w:val="en-GB"/>
        </w:rPr>
        <w:t>,</w:t>
      </w:r>
      <w:r w:rsidRPr="00824880">
        <w:rPr>
          <w:shd w:val="clear" w:color="auto" w:fill="FFFFFF"/>
          <w:lang w:val="en-GB"/>
        </w:rPr>
        <w:t>000</w:t>
      </w:r>
      <w:r w:rsidR="003A2ECF" w:rsidRPr="00824880">
        <w:rPr>
          <w:shd w:val="clear" w:color="auto" w:fill="FFFFFF"/>
          <w:lang w:val="en-GB"/>
        </w:rPr>
        <w:t>;</w:t>
      </w:r>
      <w:r w:rsidRPr="00824880">
        <w:rPr>
          <w:shd w:val="clear" w:color="auto" w:fill="FFFFFF"/>
          <w:lang w:val="en-GB"/>
        </w:rPr>
        <w:t xml:space="preserve"> DAKO).</w:t>
      </w:r>
    </w:p>
    <w:p w14:paraId="07105167" w14:textId="77777777" w:rsidR="00C04908" w:rsidRPr="00824880" w:rsidRDefault="00C04908" w:rsidP="00C04908">
      <w:pPr>
        <w:spacing w:line="480" w:lineRule="auto"/>
        <w:rPr>
          <w:shd w:val="clear" w:color="auto" w:fill="FFFFFF"/>
          <w:lang w:val="en-GB"/>
        </w:rPr>
      </w:pPr>
    </w:p>
    <w:p w14:paraId="180F9AD6" w14:textId="73FDE7BE" w:rsidR="00C04908" w:rsidRPr="00824880" w:rsidRDefault="00C04908" w:rsidP="00C04908">
      <w:pPr>
        <w:spacing w:line="480" w:lineRule="auto"/>
        <w:rPr>
          <w:i/>
          <w:shd w:val="clear" w:color="auto" w:fill="FFFFFF"/>
          <w:lang w:val="en-GB"/>
        </w:rPr>
      </w:pPr>
      <w:r w:rsidRPr="00824880">
        <w:rPr>
          <w:i/>
          <w:shd w:val="clear" w:color="auto" w:fill="FFFFFF"/>
          <w:lang w:val="en-GB"/>
        </w:rPr>
        <w:t xml:space="preserve">Quantitative PCR </w:t>
      </w:r>
      <w:r w:rsidR="003A2ECF" w:rsidRPr="00824880">
        <w:rPr>
          <w:i/>
          <w:shd w:val="clear" w:color="auto" w:fill="FFFFFF"/>
          <w:lang w:val="en-GB"/>
        </w:rPr>
        <w:t>Analysis</w:t>
      </w:r>
    </w:p>
    <w:p w14:paraId="29B3C2FC" w14:textId="323934F2" w:rsidR="00C04908" w:rsidRPr="00824880" w:rsidRDefault="00C04908" w:rsidP="00C04908">
      <w:pPr>
        <w:spacing w:line="480" w:lineRule="auto"/>
        <w:rPr>
          <w:shd w:val="clear" w:color="auto" w:fill="FFFFFF"/>
          <w:lang w:val="en-GB"/>
        </w:rPr>
      </w:pPr>
      <w:r w:rsidRPr="00824880">
        <w:rPr>
          <w:shd w:val="clear" w:color="auto" w:fill="FFFFFF"/>
          <w:lang w:val="en-GB"/>
        </w:rPr>
        <w:t xml:space="preserve">Total RNA was purified with </w:t>
      </w:r>
      <w:proofErr w:type="gramStart"/>
      <w:r w:rsidR="003A2ECF" w:rsidRPr="00824880">
        <w:rPr>
          <w:shd w:val="clear" w:color="auto" w:fill="FFFFFF"/>
          <w:lang w:val="en-GB"/>
        </w:rPr>
        <w:t>an</w:t>
      </w:r>
      <w:proofErr w:type="gramEnd"/>
      <w:r w:rsidR="003A2ECF" w:rsidRPr="00824880">
        <w:rPr>
          <w:shd w:val="clear" w:color="auto" w:fill="FFFFFF"/>
          <w:lang w:val="en-GB"/>
        </w:rPr>
        <w:t xml:space="preserve"> </w:t>
      </w:r>
      <w:r w:rsidRPr="00824880">
        <w:rPr>
          <w:shd w:val="clear" w:color="auto" w:fill="FFFFFF"/>
          <w:lang w:val="en-GB"/>
        </w:rPr>
        <w:t xml:space="preserve">RNeasy Plus Mini Kit (Qiagen, Germany). cDNA was synthesized from 1.0 </w:t>
      </w:r>
      <w:proofErr w:type="spellStart"/>
      <w:r w:rsidR="003A2ECF" w:rsidRPr="00824880">
        <w:rPr>
          <w:shd w:val="clear" w:color="auto" w:fill="FFFFFF"/>
          <w:lang w:val="en-GB"/>
        </w:rPr>
        <w:t>μ</w:t>
      </w:r>
      <w:r w:rsidRPr="00824880">
        <w:rPr>
          <w:shd w:val="clear" w:color="auto" w:fill="FFFFFF"/>
          <w:lang w:val="en-GB"/>
        </w:rPr>
        <w:t>g</w:t>
      </w:r>
      <w:proofErr w:type="spellEnd"/>
      <w:r w:rsidRPr="00824880">
        <w:rPr>
          <w:shd w:val="clear" w:color="auto" w:fill="FFFFFF"/>
          <w:lang w:val="en-GB"/>
        </w:rPr>
        <w:t xml:space="preserve"> RNA using </w:t>
      </w:r>
      <w:r w:rsidR="003A2ECF" w:rsidRPr="00824880">
        <w:rPr>
          <w:shd w:val="clear" w:color="auto" w:fill="FFFFFF"/>
          <w:lang w:val="en-GB"/>
        </w:rPr>
        <w:t xml:space="preserve">a </w:t>
      </w:r>
      <w:r w:rsidRPr="00824880">
        <w:rPr>
          <w:shd w:val="clear" w:color="auto" w:fill="FFFFFF"/>
          <w:lang w:val="en-GB"/>
        </w:rPr>
        <w:t>High-Capacity cDNA Reverse Transcription Kit (Applied Biosystems, Foster City, CA</w:t>
      </w:r>
      <w:r w:rsidR="003A2ECF" w:rsidRPr="00824880">
        <w:rPr>
          <w:shd w:val="clear" w:color="auto" w:fill="FFFFFF"/>
          <w:lang w:val="en-GB"/>
        </w:rPr>
        <w:t>, USA</w:t>
      </w:r>
      <w:r w:rsidRPr="00824880">
        <w:rPr>
          <w:shd w:val="clear" w:color="auto" w:fill="FFFFFF"/>
          <w:lang w:val="en-GB"/>
        </w:rPr>
        <w:t xml:space="preserve">). The quantification of gene expression was performed by using a </w:t>
      </w:r>
      <w:proofErr w:type="spellStart"/>
      <w:r w:rsidRPr="00824880">
        <w:rPr>
          <w:shd w:val="clear" w:color="auto" w:fill="FFFFFF"/>
          <w:lang w:val="en-GB"/>
        </w:rPr>
        <w:t>Taqman</w:t>
      </w:r>
      <w:proofErr w:type="spellEnd"/>
      <w:r w:rsidRPr="00824880">
        <w:rPr>
          <w:shd w:val="clear" w:color="auto" w:fill="FFFFFF"/>
          <w:lang w:val="en-GB"/>
        </w:rPr>
        <w:t xml:space="preserve"> Gene Expression assay (Applied Biosystems, USA) according to the manufacturer’s instructions. GAPDH was used as a reference gene. Amplification was performed in an MX3005P thermal </w:t>
      </w:r>
      <w:r w:rsidRPr="00824880">
        <w:rPr>
          <w:shd w:val="clear" w:color="auto" w:fill="FFFFFF"/>
          <w:lang w:val="en-GB"/>
        </w:rPr>
        <w:lastRenderedPageBreak/>
        <w:t>cycler (Agilent Technologies, Santa Clara, CA</w:t>
      </w:r>
      <w:r w:rsidR="003A2ECF" w:rsidRPr="00824880">
        <w:rPr>
          <w:shd w:val="clear" w:color="auto" w:fill="FFFFFF"/>
          <w:lang w:val="en-GB"/>
        </w:rPr>
        <w:t>, USA</w:t>
      </w:r>
      <w:r w:rsidRPr="00824880">
        <w:rPr>
          <w:shd w:val="clear" w:color="auto" w:fill="FFFFFF"/>
          <w:lang w:val="en-GB"/>
        </w:rPr>
        <w:t xml:space="preserve">) on standard settings. Each experiment included </w:t>
      </w:r>
      <w:r w:rsidR="003A2ECF" w:rsidRPr="00824880">
        <w:rPr>
          <w:shd w:val="clear" w:color="auto" w:fill="FFFFFF"/>
          <w:lang w:val="en-GB"/>
        </w:rPr>
        <w:t>3</w:t>
      </w:r>
      <w:r w:rsidRPr="00824880">
        <w:rPr>
          <w:shd w:val="clear" w:color="auto" w:fill="FFFFFF"/>
          <w:lang w:val="en-GB"/>
        </w:rPr>
        <w:t xml:space="preserve"> technical replicates.</w:t>
      </w:r>
      <w:bookmarkStart w:id="0" w:name="_Toc521172363"/>
      <w:bookmarkStart w:id="1" w:name="_Toc521506706"/>
      <w:bookmarkStart w:id="2" w:name="_Toc521534487"/>
      <w:bookmarkStart w:id="3" w:name="_Toc521573443"/>
    </w:p>
    <w:bookmarkEnd w:id="0"/>
    <w:bookmarkEnd w:id="1"/>
    <w:bookmarkEnd w:id="2"/>
    <w:bookmarkEnd w:id="3"/>
    <w:p w14:paraId="704BFCB5" w14:textId="77777777" w:rsidR="00C04908" w:rsidRPr="00824880" w:rsidRDefault="00C04908" w:rsidP="00C04908">
      <w:pPr>
        <w:spacing w:line="480" w:lineRule="auto"/>
        <w:rPr>
          <w:lang w:val="en-GB"/>
        </w:rPr>
      </w:pPr>
    </w:p>
    <w:p w14:paraId="2E2AB0AE" w14:textId="4CF20F42" w:rsidR="00C04908" w:rsidRPr="00824880" w:rsidRDefault="00C04908" w:rsidP="00C04908">
      <w:pPr>
        <w:spacing w:line="480" w:lineRule="auto"/>
        <w:rPr>
          <w:i/>
          <w:lang w:val="en-GB"/>
        </w:rPr>
      </w:pPr>
      <w:r w:rsidRPr="00824880">
        <w:rPr>
          <w:i/>
          <w:lang w:val="en-GB"/>
        </w:rPr>
        <w:t>Bisul</w:t>
      </w:r>
      <w:r w:rsidR="003A2ECF" w:rsidRPr="00824880">
        <w:rPr>
          <w:i/>
          <w:lang w:val="en-GB"/>
        </w:rPr>
        <w:t>ph</w:t>
      </w:r>
      <w:r w:rsidRPr="00824880">
        <w:rPr>
          <w:i/>
          <w:lang w:val="en-GB"/>
        </w:rPr>
        <w:t xml:space="preserve">ite </w:t>
      </w:r>
      <w:r w:rsidR="003A2ECF" w:rsidRPr="00824880">
        <w:rPr>
          <w:i/>
          <w:lang w:val="en-GB"/>
        </w:rPr>
        <w:t>Sequencing</w:t>
      </w:r>
    </w:p>
    <w:p w14:paraId="36C8BFAE" w14:textId="75CD6FD7" w:rsidR="00C04908" w:rsidRPr="00824880" w:rsidRDefault="00C04908" w:rsidP="00C04908">
      <w:pPr>
        <w:spacing w:line="480" w:lineRule="auto"/>
        <w:rPr>
          <w:lang w:val="en-GB"/>
        </w:rPr>
      </w:pPr>
      <w:r w:rsidRPr="00824880">
        <w:rPr>
          <w:lang w:val="en-GB"/>
        </w:rPr>
        <w:t>250</w:t>
      </w:r>
      <w:r w:rsidR="003A2ECF" w:rsidRPr="00824880">
        <w:rPr>
          <w:lang w:val="en-GB"/>
        </w:rPr>
        <w:t xml:space="preserve"> </w:t>
      </w:r>
      <w:r w:rsidRPr="00824880">
        <w:rPr>
          <w:lang w:val="en-GB"/>
        </w:rPr>
        <w:t>ng of DNA was bisul</w:t>
      </w:r>
      <w:r w:rsidR="003A2ECF" w:rsidRPr="00824880">
        <w:rPr>
          <w:lang w:val="en-GB"/>
        </w:rPr>
        <w:t>ph</w:t>
      </w:r>
      <w:r w:rsidRPr="00824880">
        <w:rPr>
          <w:lang w:val="en-GB"/>
        </w:rPr>
        <w:t>ite treated to convert unmethylated cytosine to uracil using the EZ Methylation kit (</w:t>
      </w:r>
      <w:proofErr w:type="spellStart"/>
      <w:r w:rsidRPr="00824880">
        <w:rPr>
          <w:lang w:val="en-GB"/>
        </w:rPr>
        <w:t>Zymo</w:t>
      </w:r>
      <w:proofErr w:type="spellEnd"/>
      <w:r w:rsidRPr="00824880">
        <w:rPr>
          <w:lang w:val="en-GB"/>
        </w:rPr>
        <w:t xml:space="preserve"> Research) according to the manufacturer’s instructions. The DNA methylation status of the TXNIP promoter regions were analy</w:t>
      </w:r>
      <w:r w:rsidR="003A2ECF" w:rsidRPr="00824880">
        <w:rPr>
          <w:lang w:val="en-GB"/>
        </w:rPr>
        <w:t>s</w:t>
      </w:r>
      <w:r w:rsidRPr="00824880">
        <w:rPr>
          <w:lang w:val="en-GB"/>
        </w:rPr>
        <w:t>ed in CTCL cell lines and compared to whole blood from 11 healthy controls. Methylation</w:t>
      </w:r>
      <w:r w:rsidR="003A2ECF" w:rsidRPr="00824880">
        <w:rPr>
          <w:lang w:val="en-GB"/>
        </w:rPr>
        <w:t>-</w:t>
      </w:r>
      <w:r w:rsidRPr="00824880">
        <w:rPr>
          <w:lang w:val="en-GB"/>
        </w:rPr>
        <w:t>independent assays</w:t>
      </w:r>
      <w:r w:rsidRPr="00824880">
        <w:rPr>
          <w:color w:val="0000FF"/>
          <w:lang w:val="en-GB"/>
        </w:rPr>
        <w:t xml:space="preserve"> </w:t>
      </w:r>
      <w:r w:rsidRPr="00824880">
        <w:rPr>
          <w:lang w:val="en-GB"/>
        </w:rPr>
        <w:t xml:space="preserve">were designed using the </w:t>
      </w:r>
      <w:proofErr w:type="spellStart"/>
      <w:r w:rsidRPr="00824880">
        <w:rPr>
          <w:lang w:val="en-GB"/>
        </w:rPr>
        <w:t>PyroMark</w:t>
      </w:r>
      <w:proofErr w:type="spellEnd"/>
      <w:r w:rsidRPr="00824880">
        <w:rPr>
          <w:lang w:val="en-GB"/>
        </w:rPr>
        <w:t xml:space="preserve"> Assay Design 2.0 (Qiagen). The PCR was initiated with 15 min at 95°C for activating the DNA polymerase followed by 45 cycles of 30</w:t>
      </w:r>
      <w:r w:rsidR="003A2ECF" w:rsidRPr="00824880">
        <w:rPr>
          <w:lang w:val="en-GB"/>
        </w:rPr>
        <w:t>-</w:t>
      </w:r>
      <w:r w:rsidRPr="00824880">
        <w:rPr>
          <w:lang w:val="en-GB"/>
        </w:rPr>
        <w:t>s denaturation at 95°C, 30</w:t>
      </w:r>
      <w:r w:rsidR="003A2ECF" w:rsidRPr="00824880">
        <w:rPr>
          <w:lang w:val="en-GB"/>
        </w:rPr>
        <w:t>-</w:t>
      </w:r>
      <w:r w:rsidRPr="00824880">
        <w:rPr>
          <w:lang w:val="en-GB"/>
        </w:rPr>
        <w:t>s annealing</w:t>
      </w:r>
      <w:r w:rsidR="003A2ECF" w:rsidRPr="00824880">
        <w:rPr>
          <w:lang w:val="en-GB"/>
        </w:rPr>
        <w:t xml:space="preserve"> and</w:t>
      </w:r>
      <w:r w:rsidRPr="00824880">
        <w:rPr>
          <w:lang w:val="en-GB"/>
        </w:rPr>
        <w:t xml:space="preserve"> 30</w:t>
      </w:r>
      <w:r w:rsidR="003A2ECF" w:rsidRPr="00824880">
        <w:rPr>
          <w:lang w:val="en-GB"/>
        </w:rPr>
        <w:t>-</w:t>
      </w:r>
      <w:r w:rsidRPr="00824880">
        <w:rPr>
          <w:lang w:val="en-GB"/>
        </w:rPr>
        <w:t>s elongation at 72°C. Final elongation was carried out for 10 min at 72°C</w:t>
      </w:r>
      <w:r w:rsidR="003A2ECF" w:rsidRPr="00824880">
        <w:rPr>
          <w:lang w:val="en-GB"/>
        </w:rPr>
        <w:t>,</w:t>
      </w:r>
      <w:r w:rsidRPr="00824880">
        <w:rPr>
          <w:lang w:val="en-GB"/>
        </w:rPr>
        <w:t xml:space="preserve"> and the PCR amplicons were h</w:t>
      </w:r>
      <w:r w:rsidR="003A2ECF" w:rsidRPr="00824880">
        <w:rPr>
          <w:lang w:val="en-GB"/>
        </w:rPr>
        <w:t>e</w:t>
      </w:r>
      <w:r w:rsidRPr="00824880">
        <w:rPr>
          <w:lang w:val="en-GB"/>
        </w:rPr>
        <w:t xml:space="preserve">ld at 4°C until sequencing. The PCR amplicons were </w:t>
      </w:r>
      <w:proofErr w:type="spellStart"/>
      <w:r w:rsidRPr="00824880">
        <w:rPr>
          <w:lang w:val="en-GB"/>
        </w:rPr>
        <w:t>pyrosequenced</w:t>
      </w:r>
      <w:proofErr w:type="spellEnd"/>
      <w:r w:rsidRPr="00824880">
        <w:rPr>
          <w:lang w:val="en-GB"/>
        </w:rPr>
        <w:t xml:space="preserve"> on the </w:t>
      </w:r>
      <w:proofErr w:type="spellStart"/>
      <w:r w:rsidRPr="00824880">
        <w:rPr>
          <w:lang w:val="en-GB"/>
        </w:rPr>
        <w:t>PyroMark</w:t>
      </w:r>
      <w:proofErr w:type="spellEnd"/>
      <w:r w:rsidRPr="00824880">
        <w:rPr>
          <w:lang w:val="en-GB"/>
        </w:rPr>
        <w:t xml:space="preserve"> Q24 (Qiagen) instrument using the </w:t>
      </w:r>
      <w:proofErr w:type="spellStart"/>
      <w:r w:rsidRPr="00824880">
        <w:rPr>
          <w:lang w:val="en-GB"/>
        </w:rPr>
        <w:t>PyroMark</w:t>
      </w:r>
      <w:proofErr w:type="spellEnd"/>
      <w:r w:rsidRPr="00824880">
        <w:rPr>
          <w:lang w:val="en-GB"/>
        </w:rPr>
        <w:t xml:space="preserve"> Gold Q24 reagents (Qiagen) according to </w:t>
      </w:r>
      <w:r w:rsidR="003A2ECF" w:rsidRPr="00824880">
        <w:rPr>
          <w:lang w:val="en-GB"/>
        </w:rPr>
        <w:t xml:space="preserve">the </w:t>
      </w:r>
      <w:r w:rsidRPr="00824880">
        <w:rPr>
          <w:lang w:val="en-GB"/>
        </w:rPr>
        <w:t xml:space="preserve">manufacturers’ instructions. The DNA methylation level is calculated as the median DNA methylation level of the CpG sites included in the assay. Primer sequences are given in </w:t>
      </w:r>
      <w:r w:rsidR="003A2ECF" w:rsidRPr="00824880">
        <w:rPr>
          <w:lang w:val="en-GB"/>
        </w:rPr>
        <w:t xml:space="preserve">suppl. </w:t>
      </w:r>
      <w:r w:rsidRPr="00824880">
        <w:rPr>
          <w:lang w:val="en-GB"/>
        </w:rPr>
        <w:t xml:space="preserve">Table 1. </w:t>
      </w:r>
    </w:p>
    <w:p w14:paraId="4E6E4017" w14:textId="77777777" w:rsidR="00C04908" w:rsidRPr="00824880" w:rsidRDefault="00C04908" w:rsidP="00C04908">
      <w:pPr>
        <w:rPr>
          <w:lang w:val="en-GB"/>
        </w:rPr>
      </w:pPr>
    </w:p>
    <w:tbl>
      <w:tblPr>
        <w:tblpPr w:leftFromText="141" w:rightFromText="141" w:vertAnchor="text" w:horzAnchor="margin" w:tblpY="168"/>
        <w:tblW w:w="8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3348"/>
        <w:gridCol w:w="1056"/>
        <w:gridCol w:w="1422"/>
        <w:gridCol w:w="1205"/>
      </w:tblGrid>
      <w:tr w:rsidR="00C04908" w:rsidRPr="00824880" w14:paraId="0020889F" w14:textId="77777777" w:rsidTr="00F571E2">
        <w:trPr>
          <w:trHeight w:val="825"/>
        </w:trPr>
        <w:tc>
          <w:tcPr>
            <w:tcW w:w="1065" w:type="dxa"/>
            <w:shd w:val="clear" w:color="auto" w:fill="auto"/>
          </w:tcPr>
          <w:p w14:paraId="769D8FF0" w14:textId="77777777" w:rsidR="00C04908" w:rsidRPr="00824880" w:rsidRDefault="00C04908" w:rsidP="00F571E2">
            <w:pPr>
              <w:pStyle w:val="StandardWeb"/>
              <w:rPr>
                <w:color w:val="222222"/>
                <w:shd w:val="clear" w:color="auto" w:fill="FFFFFF"/>
                <w:lang w:val="en-GB"/>
              </w:rPr>
            </w:pPr>
            <w:r w:rsidRPr="00824880">
              <w:rPr>
                <w:color w:val="222222"/>
                <w:shd w:val="clear" w:color="auto" w:fill="FFFFFF"/>
                <w:lang w:val="en-GB"/>
              </w:rPr>
              <w:t>Assay</w:t>
            </w:r>
          </w:p>
        </w:tc>
        <w:tc>
          <w:tcPr>
            <w:tcW w:w="3050" w:type="dxa"/>
            <w:shd w:val="clear" w:color="auto" w:fill="auto"/>
          </w:tcPr>
          <w:p w14:paraId="15A7E55F" w14:textId="77777777" w:rsidR="00C04908" w:rsidRPr="00824880" w:rsidRDefault="00C04908" w:rsidP="00F571E2">
            <w:pPr>
              <w:pStyle w:val="StandardWeb"/>
              <w:rPr>
                <w:color w:val="222222"/>
                <w:shd w:val="clear" w:color="auto" w:fill="FFFFFF"/>
                <w:lang w:val="en-GB"/>
              </w:rPr>
            </w:pPr>
            <w:r w:rsidRPr="00824880">
              <w:rPr>
                <w:color w:val="222222"/>
                <w:shd w:val="clear" w:color="auto" w:fill="FFFFFF"/>
                <w:lang w:val="en-GB"/>
              </w:rPr>
              <w:t>Primer sequence</w:t>
            </w:r>
          </w:p>
        </w:tc>
        <w:tc>
          <w:tcPr>
            <w:tcW w:w="973" w:type="dxa"/>
            <w:shd w:val="clear" w:color="auto" w:fill="auto"/>
          </w:tcPr>
          <w:p w14:paraId="651738AA" w14:textId="5C15938E" w:rsidR="00C04908" w:rsidRPr="00824880" w:rsidRDefault="00C04908" w:rsidP="00F571E2">
            <w:pPr>
              <w:pStyle w:val="StandardWeb"/>
              <w:rPr>
                <w:color w:val="222222"/>
                <w:shd w:val="clear" w:color="auto" w:fill="FFFFFF"/>
                <w:lang w:val="en-GB"/>
              </w:rPr>
            </w:pPr>
            <w:r w:rsidRPr="00824880">
              <w:rPr>
                <w:color w:val="222222"/>
                <w:shd w:val="clear" w:color="auto" w:fill="FFFFFF"/>
                <w:lang w:val="en-GB"/>
              </w:rPr>
              <w:t>Number of CpG sites analy</w:t>
            </w:r>
            <w:r w:rsidR="003A2ECF" w:rsidRPr="00824880">
              <w:rPr>
                <w:color w:val="222222"/>
                <w:shd w:val="clear" w:color="auto" w:fill="FFFFFF"/>
                <w:lang w:val="en-GB"/>
              </w:rPr>
              <w:t>s</w:t>
            </w:r>
            <w:r w:rsidRPr="00824880">
              <w:rPr>
                <w:color w:val="222222"/>
                <w:shd w:val="clear" w:color="auto" w:fill="FFFFFF"/>
                <w:lang w:val="en-GB"/>
              </w:rPr>
              <w:t>ed</w:t>
            </w:r>
          </w:p>
        </w:tc>
        <w:tc>
          <w:tcPr>
            <w:tcW w:w="1240" w:type="dxa"/>
            <w:shd w:val="clear" w:color="auto" w:fill="auto"/>
          </w:tcPr>
          <w:p w14:paraId="46E5B2B7" w14:textId="613D74CA" w:rsidR="00C04908" w:rsidRPr="00824880" w:rsidRDefault="00C04908" w:rsidP="00F571E2">
            <w:pPr>
              <w:pStyle w:val="StandardWeb"/>
              <w:rPr>
                <w:color w:val="222222"/>
                <w:shd w:val="clear" w:color="auto" w:fill="FFFFFF"/>
                <w:lang w:val="en-GB"/>
              </w:rPr>
            </w:pPr>
            <w:r w:rsidRPr="00824880">
              <w:rPr>
                <w:color w:val="222222"/>
                <w:shd w:val="clear" w:color="auto" w:fill="FFFFFF"/>
                <w:lang w:val="en-GB"/>
              </w:rPr>
              <w:t>Annealing temperature</w:t>
            </w:r>
            <w:r w:rsidR="003A2ECF" w:rsidRPr="00824880">
              <w:rPr>
                <w:color w:val="222222"/>
                <w:shd w:val="clear" w:color="auto" w:fill="FFFFFF"/>
                <w:lang w:val="en-GB"/>
              </w:rPr>
              <w:t>,</w:t>
            </w:r>
            <w:r w:rsidRPr="00824880">
              <w:rPr>
                <w:color w:val="222222"/>
                <w:shd w:val="clear" w:color="auto" w:fill="FFFFFF"/>
                <w:lang w:val="en-GB"/>
              </w:rPr>
              <w:t xml:space="preserve"> °C</w:t>
            </w:r>
          </w:p>
        </w:tc>
        <w:tc>
          <w:tcPr>
            <w:tcW w:w="1813" w:type="dxa"/>
            <w:shd w:val="clear" w:color="auto" w:fill="auto"/>
          </w:tcPr>
          <w:p w14:paraId="7505F1F7" w14:textId="77777777" w:rsidR="00C04908" w:rsidRPr="00824880" w:rsidRDefault="00C04908" w:rsidP="00F571E2">
            <w:pPr>
              <w:pStyle w:val="StandardWeb"/>
              <w:rPr>
                <w:color w:val="222222"/>
                <w:shd w:val="clear" w:color="auto" w:fill="FFFFFF"/>
                <w:lang w:val="en-GB"/>
              </w:rPr>
            </w:pPr>
            <w:r w:rsidRPr="00824880">
              <w:rPr>
                <w:color w:val="222222"/>
                <w:shd w:val="clear" w:color="auto" w:fill="FFFFFF"/>
                <w:lang w:val="en-GB"/>
              </w:rPr>
              <w:t>Genomic location of the amplicon (hg38)</w:t>
            </w:r>
          </w:p>
        </w:tc>
      </w:tr>
      <w:tr w:rsidR="00C04908" w:rsidRPr="00824880" w14:paraId="5D7040A3" w14:textId="77777777" w:rsidTr="00F571E2">
        <w:trPr>
          <w:trHeight w:val="621"/>
        </w:trPr>
        <w:tc>
          <w:tcPr>
            <w:tcW w:w="1065" w:type="dxa"/>
            <w:shd w:val="clear" w:color="auto" w:fill="auto"/>
          </w:tcPr>
          <w:p w14:paraId="7B25E0D9" w14:textId="77777777" w:rsidR="00C04908" w:rsidRPr="00824880" w:rsidRDefault="00C04908" w:rsidP="00F571E2">
            <w:pPr>
              <w:rPr>
                <w:color w:val="222222"/>
                <w:lang w:val="en-GB"/>
              </w:rPr>
            </w:pPr>
            <w:r w:rsidRPr="00824880">
              <w:rPr>
                <w:color w:val="222222"/>
                <w:lang w:val="en-GB"/>
              </w:rPr>
              <w:t xml:space="preserve">TXNIP F2: </w:t>
            </w:r>
          </w:p>
          <w:p w14:paraId="772FE1A9" w14:textId="0DB65B21" w:rsidR="00C04908" w:rsidRPr="00824880" w:rsidRDefault="00C04908" w:rsidP="00F571E2">
            <w:pPr>
              <w:rPr>
                <w:color w:val="222222"/>
                <w:lang w:val="en-GB"/>
              </w:rPr>
            </w:pPr>
            <w:r w:rsidRPr="00824880">
              <w:rPr>
                <w:color w:val="222222"/>
                <w:lang w:val="en-GB"/>
              </w:rPr>
              <w:t>TXNIP R_bio_3:</w:t>
            </w:r>
          </w:p>
          <w:p w14:paraId="02F11027" w14:textId="77777777" w:rsidR="00C04908" w:rsidRPr="00824880" w:rsidRDefault="00C04908" w:rsidP="00F571E2">
            <w:pPr>
              <w:pStyle w:val="StandardWeb"/>
              <w:rPr>
                <w:color w:val="222222"/>
                <w:shd w:val="clear" w:color="auto" w:fill="FFFFFF"/>
                <w:lang w:val="en-GB"/>
              </w:rPr>
            </w:pPr>
            <w:r w:rsidRPr="00824880">
              <w:rPr>
                <w:color w:val="222222"/>
                <w:lang w:val="en-GB"/>
              </w:rPr>
              <w:t>TXNIP seq_2:</w:t>
            </w:r>
          </w:p>
        </w:tc>
        <w:tc>
          <w:tcPr>
            <w:tcW w:w="3050" w:type="dxa"/>
            <w:shd w:val="clear" w:color="auto" w:fill="auto"/>
          </w:tcPr>
          <w:p w14:paraId="7505501A" w14:textId="77777777" w:rsidR="00C04908" w:rsidRPr="00824880" w:rsidRDefault="00C04908" w:rsidP="00F571E2">
            <w:pPr>
              <w:rPr>
                <w:lang w:val="en-GB"/>
              </w:rPr>
            </w:pPr>
            <w:r w:rsidRPr="00824880">
              <w:rPr>
                <w:lang w:val="en-GB"/>
              </w:rPr>
              <w:t>5’-ggtTagtgggatTTtTTttTTaTtgga</w:t>
            </w:r>
          </w:p>
          <w:p w14:paraId="67DEEE88" w14:textId="77777777" w:rsidR="00C04908" w:rsidRPr="00824880" w:rsidRDefault="00C04908" w:rsidP="00F571E2">
            <w:pPr>
              <w:rPr>
                <w:lang w:val="en-GB"/>
              </w:rPr>
            </w:pPr>
            <w:r w:rsidRPr="00824880">
              <w:rPr>
                <w:lang w:val="en-GB"/>
              </w:rPr>
              <w:t>5’-bio-ccattAActAccccAtccttAtttaccaA</w:t>
            </w:r>
          </w:p>
          <w:p w14:paraId="6E71B656" w14:textId="77777777" w:rsidR="00C04908" w:rsidRPr="00824880" w:rsidRDefault="00C04908" w:rsidP="00F571E2">
            <w:pPr>
              <w:rPr>
                <w:lang w:val="en-GB"/>
              </w:rPr>
            </w:pPr>
            <w:r w:rsidRPr="00824880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F4B5D1" wp14:editId="31EFFD1A">
                      <wp:simplePos x="0" y="0"/>
                      <wp:positionH relativeFrom="column">
                        <wp:posOffset>-734695</wp:posOffset>
                      </wp:positionH>
                      <wp:positionV relativeFrom="paragraph">
                        <wp:posOffset>530860</wp:posOffset>
                      </wp:positionV>
                      <wp:extent cx="5486400" cy="575945"/>
                      <wp:effectExtent l="0" t="0" r="0" b="635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86400" cy="575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CD90AE" w14:textId="2F356D1E" w:rsidR="00C04908" w:rsidRPr="00734A54" w:rsidRDefault="003A2ECF" w:rsidP="00C04908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Suppl. </w:t>
                                  </w:r>
                                  <w:r w:rsidR="00C04908" w:rsidRPr="003A2ECF">
                                    <w:rPr>
                                      <w:b/>
                                    </w:rPr>
                                    <w:t>Table 1.</w:t>
                                  </w:r>
                                  <w:r w:rsidR="00C04908" w:rsidRPr="00734A54">
                                    <w:t xml:space="preserve"> TXNIP primers used for </w:t>
                                  </w:r>
                                  <w:proofErr w:type="spellStart"/>
                                  <w:r w:rsidR="00C04908" w:rsidRPr="00734A54">
                                    <w:t>bisul</w:t>
                                  </w:r>
                                  <w:r>
                                    <w:t>ph</w:t>
                                  </w:r>
                                  <w:r w:rsidR="00C04908" w:rsidRPr="00734A54">
                                    <w:t>ite</w:t>
                                  </w:r>
                                  <w:proofErr w:type="spellEnd"/>
                                  <w:r w:rsidR="00C04908" w:rsidRPr="00734A54">
                                    <w:t xml:space="preserve"> sequencing analysis on 5 CpG sequences on the TXNIP promoter region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F4B5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-57.85pt;margin-top:41.8pt;width:6in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" filled="f" stroked="f" strokeweight=".5pt">
                      <v:textbox>
                        <w:txbxContent>
                          <w:p w14:paraId="5ECD90AE" w14:textId="2F356D1E" w:rsidR="00C04908" w:rsidRPr="00734A54" w:rsidRDefault="003A2ECF" w:rsidP="00C04908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Suppl. </w:t>
                            </w:r>
                            <w:r w:rsidR="00C04908" w:rsidRPr="003A2ECF">
                              <w:rPr>
                                <w:b/>
                              </w:rPr>
                              <w:t>Table 1.</w:t>
                            </w:r>
                            <w:r w:rsidR="00C04908" w:rsidRPr="00734A54">
                              <w:t xml:space="preserve"> TXNIP primers used for </w:t>
                            </w:r>
                            <w:proofErr w:type="spellStart"/>
                            <w:r w:rsidR="00C04908" w:rsidRPr="00734A54">
                              <w:t>bisul</w:t>
                            </w:r>
                            <w:r>
                              <w:t>ph</w:t>
                            </w:r>
                            <w:r w:rsidR="00C04908" w:rsidRPr="00734A54">
                              <w:t>ite</w:t>
                            </w:r>
                            <w:proofErr w:type="spellEnd"/>
                            <w:r w:rsidR="00C04908" w:rsidRPr="00734A54">
                              <w:t xml:space="preserve"> sequencing analysis on 5 CpG sequences on the TXNIP promoter region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4880">
              <w:rPr>
                <w:lang w:val="en-GB"/>
              </w:rPr>
              <w:t>5’-aTTattttTTTagTTaggagTaTaT</w:t>
            </w:r>
          </w:p>
        </w:tc>
        <w:tc>
          <w:tcPr>
            <w:tcW w:w="973" w:type="dxa"/>
            <w:shd w:val="clear" w:color="auto" w:fill="auto"/>
          </w:tcPr>
          <w:p w14:paraId="1B6D06C4" w14:textId="77777777" w:rsidR="00C04908" w:rsidRPr="00824880" w:rsidRDefault="00C04908" w:rsidP="00F571E2">
            <w:pPr>
              <w:pStyle w:val="StandardWeb"/>
              <w:rPr>
                <w:color w:val="222222"/>
                <w:shd w:val="clear" w:color="auto" w:fill="FFFFFF"/>
                <w:lang w:val="en-GB"/>
              </w:rPr>
            </w:pPr>
          </w:p>
          <w:p w14:paraId="40A95B0E" w14:textId="77777777" w:rsidR="00C04908" w:rsidRPr="00824880" w:rsidRDefault="00C04908" w:rsidP="00F571E2">
            <w:pPr>
              <w:rPr>
                <w:lang w:val="en-GB"/>
              </w:rPr>
            </w:pPr>
            <w:r w:rsidRPr="00824880">
              <w:rPr>
                <w:lang w:val="en-GB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14:paraId="3C16F75C" w14:textId="77777777" w:rsidR="00C04908" w:rsidRPr="00824880" w:rsidRDefault="00C04908" w:rsidP="00F571E2">
            <w:pPr>
              <w:pStyle w:val="StandardWeb"/>
              <w:rPr>
                <w:color w:val="222222"/>
                <w:shd w:val="clear" w:color="auto" w:fill="FFFFFF"/>
                <w:lang w:val="en-GB"/>
              </w:rPr>
            </w:pPr>
          </w:p>
          <w:p w14:paraId="581C6501" w14:textId="77777777" w:rsidR="00C04908" w:rsidRPr="00824880" w:rsidRDefault="00C04908" w:rsidP="00F571E2">
            <w:pPr>
              <w:pStyle w:val="StandardWeb"/>
              <w:rPr>
                <w:color w:val="222222"/>
                <w:shd w:val="clear" w:color="auto" w:fill="FFFFFF"/>
                <w:lang w:val="en-GB"/>
              </w:rPr>
            </w:pPr>
            <w:r w:rsidRPr="00824880">
              <w:rPr>
                <w:color w:val="222222"/>
                <w:shd w:val="clear" w:color="auto" w:fill="FFFFFF"/>
                <w:lang w:val="en-GB"/>
              </w:rPr>
              <w:t>56</w:t>
            </w:r>
          </w:p>
        </w:tc>
        <w:tc>
          <w:tcPr>
            <w:tcW w:w="1813" w:type="dxa"/>
            <w:shd w:val="clear" w:color="auto" w:fill="auto"/>
          </w:tcPr>
          <w:p w14:paraId="545BB65F" w14:textId="45397DF1" w:rsidR="00C04908" w:rsidRPr="00824880" w:rsidRDefault="00C04908" w:rsidP="00F571E2">
            <w:pPr>
              <w:pStyle w:val="StandardWeb"/>
              <w:rPr>
                <w:color w:val="222222"/>
                <w:shd w:val="clear" w:color="auto" w:fill="FFFFFF"/>
                <w:lang w:val="en-GB"/>
              </w:rPr>
            </w:pPr>
            <w:r w:rsidRPr="00824880">
              <w:rPr>
                <w:rStyle w:val="positiondisplay1"/>
                <w:lang w:val="en-GB"/>
              </w:rPr>
              <w:t>chr1:145,</w:t>
            </w:r>
            <w:r w:rsidR="003A2ECF" w:rsidRPr="00824880">
              <w:rPr>
                <w:rStyle w:val="positiondisplay1"/>
                <w:lang w:val="en-GB"/>
              </w:rPr>
              <w:t xml:space="preserve"> </w:t>
            </w:r>
            <w:r w:rsidRPr="00824880">
              <w:rPr>
                <w:rStyle w:val="positiondisplay1"/>
                <w:lang w:val="en-GB"/>
              </w:rPr>
              <w:t>996,</w:t>
            </w:r>
            <w:r w:rsidR="003A2ECF" w:rsidRPr="00824880">
              <w:rPr>
                <w:rStyle w:val="positiondisplay1"/>
                <w:lang w:val="en-GB"/>
              </w:rPr>
              <w:t xml:space="preserve"> </w:t>
            </w:r>
            <w:r w:rsidRPr="00824880">
              <w:rPr>
                <w:rStyle w:val="positiondisplay1"/>
                <w:lang w:val="en-GB"/>
              </w:rPr>
              <w:t>678-145,</w:t>
            </w:r>
            <w:r w:rsidR="003A2ECF" w:rsidRPr="00824880">
              <w:rPr>
                <w:rStyle w:val="positiondisplay1"/>
                <w:lang w:val="en-GB"/>
              </w:rPr>
              <w:t xml:space="preserve"> </w:t>
            </w:r>
            <w:r w:rsidRPr="00824880">
              <w:rPr>
                <w:rStyle w:val="positiondisplay1"/>
                <w:lang w:val="en-GB"/>
              </w:rPr>
              <w:t>996,</w:t>
            </w:r>
            <w:r w:rsidR="003A2ECF" w:rsidRPr="00824880">
              <w:rPr>
                <w:rStyle w:val="positiondisplay1"/>
                <w:lang w:val="en-GB"/>
              </w:rPr>
              <w:t xml:space="preserve"> </w:t>
            </w:r>
            <w:r w:rsidRPr="00824880">
              <w:rPr>
                <w:rStyle w:val="positiondisplay1"/>
                <w:lang w:val="en-GB"/>
              </w:rPr>
              <w:t>891</w:t>
            </w:r>
          </w:p>
        </w:tc>
      </w:tr>
    </w:tbl>
    <w:p w14:paraId="366C9D29" w14:textId="77777777" w:rsidR="00C04908" w:rsidRPr="00824880" w:rsidRDefault="00C04908" w:rsidP="00C04908">
      <w:pPr>
        <w:spacing w:line="480" w:lineRule="auto"/>
        <w:rPr>
          <w:lang w:val="en-GB"/>
        </w:rPr>
      </w:pPr>
    </w:p>
    <w:p w14:paraId="7FD5EF9A" w14:textId="77777777" w:rsidR="00C04908" w:rsidRPr="00824880" w:rsidRDefault="00C04908" w:rsidP="00C04908">
      <w:pPr>
        <w:spacing w:line="480" w:lineRule="auto"/>
        <w:rPr>
          <w:lang w:val="en-GB"/>
        </w:rPr>
      </w:pPr>
    </w:p>
    <w:p w14:paraId="4D55F29C" w14:textId="77777777" w:rsidR="00C04908" w:rsidRPr="00824880" w:rsidRDefault="00C04908" w:rsidP="00C04908">
      <w:pPr>
        <w:spacing w:line="480" w:lineRule="auto"/>
        <w:rPr>
          <w:lang w:val="en-GB"/>
        </w:rPr>
      </w:pPr>
    </w:p>
    <w:p w14:paraId="75493AB0" w14:textId="77777777" w:rsidR="00C04908" w:rsidRPr="00824880" w:rsidRDefault="00C04908" w:rsidP="00C04908">
      <w:pPr>
        <w:spacing w:line="480" w:lineRule="auto"/>
        <w:rPr>
          <w:lang w:val="en-GB"/>
        </w:rPr>
      </w:pPr>
    </w:p>
    <w:p w14:paraId="155D60FC" w14:textId="77777777" w:rsidR="00C04908" w:rsidRPr="00824880" w:rsidRDefault="00C04908" w:rsidP="00C04908">
      <w:pPr>
        <w:spacing w:line="480" w:lineRule="auto"/>
        <w:rPr>
          <w:lang w:val="en-GB"/>
        </w:rPr>
      </w:pPr>
    </w:p>
    <w:p w14:paraId="3A5E5E84" w14:textId="77777777" w:rsidR="00C04908" w:rsidRPr="00824880" w:rsidRDefault="00C04908" w:rsidP="00C04908">
      <w:pPr>
        <w:spacing w:line="480" w:lineRule="auto"/>
        <w:rPr>
          <w:lang w:val="en-GB"/>
        </w:rPr>
      </w:pPr>
    </w:p>
    <w:p w14:paraId="515CC5EB" w14:textId="77777777" w:rsidR="00C04908" w:rsidRPr="00824880" w:rsidRDefault="00C04908" w:rsidP="00C04908">
      <w:pPr>
        <w:spacing w:line="480" w:lineRule="auto"/>
        <w:rPr>
          <w:color w:val="222222"/>
          <w:shd w:val="clear" w:color="auto" w:fill="FFFFFF"/>
          <w:lang w:val="en-GB"/>
        </w:rPr>
      </w:pPr>
    </w:p>
    <w:p w14:paraId="6F21ABA6" w14:textId="77777777" w:rsidR="00C04908" w:rsidRPr="00824880" w:rsidRDefault="00C04908" w:rsidP="00C04908">
      <w:pPr>
        <w:spacing w:line="480" w:lineRule="auto"/>
        <w:rPr>
          <w:color w:val="222222"/>
          <w:shd w:val="clear" w:color="auto" w:fill="FFFFFF"/>
          <w:lang w:val="en-GB"/>
        </w:rPr>
      </w:pPr>
    </w:p>
    <w:p w14:paraId="79C2F2FE" w14:textId="77777777" w:rsidR="00C04908" w:rsidRPr="00824880" w:rsidRDefault="00C04908" w:rsidP="00C04908">
      <w:pPr>
        <w:spacing w:line="480" w:lineRule="auto"/>
        <w:rPr>
          <w:lang w:val="en-GB"/>
        </w:rPr>
      </w:pPr>
    </w:p>
    <w:p w14:paraId="46F0E57F" w14:textId="10769119" w:rsidR="00C04908" w:rsidRPr="00824880" w:rsidRDefault="00C04908" w:rsidP="00C04908">
      <w:pPr>
        <w:spacing w:line="480" w:lineRule="auto"/>
        <w:rPr>
          <w:i/>
          <w:lang w:val="en-GB"/>
        </w:rPr>
      </w:pPr>
      <w:r w:rsidRPr="00824880">
        <w:rPr>
          <w:i/>
          <w:lang w:val="en-GB"/>
        </w:rPr>
        <w:t>Generation of GFP and TXNIP-</w:t>
      </w:r>
      <w:r w:rsidR="003A2ECF" w:rsidRPr="00824880">
        <w:rPr>
          <w:i/>
          <w:lang w:val="en-GB"/>
        </w:rPr>
        <w:t xml:space="preserve">Transduced </w:t>
      </w:r>
      <w:r w:rsidRPr="00824880">
        <w:rPr>
          <w:i/>
          <w:lang w:val="en-GB"/>
        </w:rPr>
        <w:t xml:space="preserve">PB2B </w:t>
      </w:r>
      <w:r w:rsidR="003A2ECF" w:rsidRPr="00824880">
        <w:rPr>
          <w:i/>
          <w:lang w:val="en-GB"/>
        </w:rPr>
        <w:t>Cells</w:t>
      </w:r>
    </w:p>
    <w:p w14:paraId="22A11048" w14:textId="7C665298" w:rsidR="00C04908" w:rsidRPr="00824880" w:rsidRDefault="00C04908" w:rsidP="00C04908">
      <w:pPr>
        <w:spacing w:line="480" w:lineRule="auto"/>
        <w:rPr>
          <w:lang w:val="en-GB"/>
        </w:rPr>
      </w:pPr>
      <w:r w:rsidRPr="00824880">
        <w:rPr>
          <w:lang w:val="en-GB"/>
        </w:rPr>
        <w:t xml:space="preserve">This method has been previously described in </w:t>
      </w:r>
      <w:r w:rsidR="00466F84" w:rsidRPr="00824880">
        <w:rPr>
          <w:lang w:val="en-GB"/>
        </w:rPr>
        <w:t xml:space="preserve">Fredholm et al. </w:t>
      </w:r>
      <w:r w:rsidRPr="00824880">
        <w:rPr>
          <w:lang w:val="en-GB"/>
        </w:rPr>
        <w:t>[19]. Briefly, cDNA encoding TXNIP was synthesized and cloned into a 3</w:t>
      </w:r>
      <w:r w:rsidRPr="00824880">
        <w:rPr>
          <w:vertAlign w:val="superscript"/>
          <w:lang w:val="en-GB"/>
        </w:rPr>
        <w:t>rd</w:t>
      </w:r>
      <w:r w:rsidR="00466F84" w:rsidRPr="00824880">
        <w:rPr>
          <w:lang w:val="en-GB"/>
        </w:rPr>
        <w:t>-</w:t>
      </w:r>
      <w:r w:rsidRPr="00824880">
        <w:rPr>
          <w:lang w:val="en-GB"/>
        </w:rPr>
        <w:t xml:space="preserve">generation lentiviral vector </w:t>
      </w:r>
      <w:proofErr w:type="spellStart"/>
      <w:r w:rsidRPr="00824880">
        <w:rPr>
          <w:lang w:val="en-GB"/>
        </w:rPr>
        <w:t>pTRP</w:t>
      </w:r>
      <w:proofErr w:type="spellEnd"/>
      <w:r w:rsidRPr="00824880">
        <w:rPr>
          <w:lang w:val="en-GB"/>
        </w:rPr>
        <w:t xml:space="preserve">-EGFP (provided by </w:t>
      </w:r>
      <w:proofErr w:type="spellStart"/>
      <w:r w:rsidRPr="00824880">
        <w:rPr>
          <w:lang w:val="en-GB"/>
        </w:rPr>
        <w:t>Dr.</w:t>
      </w:r>
      <w:proofErr w:type="spellEnd"/>
      <w:r w:rsidRPr="00824880">
        <w:rPr>
          <w:lang w:val="en-GB"/>
        </w:rPr>
        <w:t xml:space="preserve"> James L. Riley, University of Pennsylvania, Philadelphia, PA</w:t>
      </w:r>
      <w:r w:rsidR="00466F84" w:rsidRPr="00824880">
        <w:rPr>
          <w:lang w:val="en-GB"/>
        </w:rPr>
        <w:t>, USA</w:t>
      </w:r>
      <w:r w:rsidRPr="00824880">
        <w:rPr>
          <w:lang w:val="en-GB"/>
        </w:rPr>
        <w:t>) using 5’AvrII/3’SaII restriction sites (</w:t>
      </w:r>
      <w:proofErr w:type="spellStart"/>
      <w:r w:rsidRPr="00824880">
        <w:rPr>
          <w:lang w:val="en-GB"/>
        </w:rPr>
        <w:t>GeneArt</w:t>
      </w:r>
      <w:proofErr w:type="spellEnd"/>
      <w:r w:rsidRPr="00824880">
        <w:rPr>
          <w:lang w:val="en-GB"/>
        </w:rPr>
        <w:t xml:space="preserve">/Thermo Fisher, Germany) generating the lentiviral vector </w:t>
      </w:r>
      <w:proofErr w:type="spellStart"/>
      <w:r w:rsidRPr="00824880">
        <w:rPr>
          <w:lang w:val="en-GB"/>
        </w:rPr>
        <w:t>pTRP</w:t>
      </w:r>
      <w:proofErr w:type="spellEnd"/>
      <w:r w:rsidRPr="00824880">
        <w:rPr>
          <w:lang w:val="en-GB"/>
        </w:rPr>
        <w:t>-EGFP-TXNIP. This vector permits dual expression of EGFP and TXNIP from a single RNA transcript. The lentivirus was produced after transfection of HEK293T cells cultured in DMEM (</w:t>
      </w:r>
      <w:proofErr w:type="spellStart"/>
      <w:r w:rsidRPr="00824880">
        <w:rPr>
          <w:lang w:val="en-GB"/>
        </w:rPr>
        <w:t>BioWhittaker</w:t>
      </w:r>
      <w:proofErr w:type="spellEnd"/>
      <w:r w:rsidRPr="00824880">
        <w:rPr>
          <w:lang w:val="en-GB"/>
        </w:rPr>
        <w:t>, Rockville MD, USA), 10% FBS, 100mg/ml P/S. Cells were seeded at 2.5</w:t>
      </w:r>
      <w:r w:rsidR="00466F84" w:rsidRPr="00824880">
        <w:rPr>
          <w:lang w:val="en-GB"/>
        </w:rPr>
        <w:t xml:space="preserve"> </w:t>
      </w:r>
      <w:r w:rsidR="00466F84" w:rsidRPr="00824880">
        <w:rPr>
          <w:rFonts w:ascii="Arial" w:hAnsi="Arial" w:cs="Arial"/>
          <w:lang w:val="en-GB"/>
        </w:rPr>
        <w:t>×</w:t>
      </w:r>
      <w:r w:rsidR="00466F84" w:rsidRPr="00824880">
        <w:rPr>
          <w:lang w:val="en-GB"/>
        </w:rPr>
        <w:t xml:space="preserve"> </w:t>
      </w:r>
      <m:oMath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GB"/>
              </w:rPr>
              <m:t>5</m:t>
            </m:r>
          </m:sup>
        </m:sSup>
      </m:oMath>
      <w:r w:rsidRPr="00824880">
        <w:rPr>
          <w:lang w:val="en-GB"/>
        </w:rPr>
        <w:t xml:space="preserve"> cells/well in 6-well plate</w:t>
      </w:r>
      <w:r w:rsidR="00466F84" w:rsidRPr="00824880">
        <w:rPr>
          <w:lang w:val="en-GB"/>
        </w:rPr>
        <w:t>s</w:t>
      </w:r>
      <w:r w:rsidRPr="00824880">
        <w:rPr>
          <w:lang w:val="en-GB"/>
        </w:rPr>
        <w:t xml:space="preserve"> prior to transfection. For transfection, 1</w:t>
      </w:r>
      <w:r w:rsidR="00466F84" w:rsidRPr="00824880">
        <w:rPr>
          <w:lang w:val="en-GB"/>
        </w:rPr>
        <w:t xml:space="preserve"> </w:t>
      </w:r>
      <w:r w:rsidRPr="00824880">
        <w:rPr>
          <w:lang w:val="en-GB"/>
        </w:rPr>
        <w:t xml:space="preserve">µg of </w:t>
      </w:r>
      <w:proofErr w:type="spellStart"/>
      <w:r w:rsidRPr="00824880">
        <w:rPr>
          <w:lang w:val="en-GB"/>
        </w:rPr>
        <w:t>pTRP</w:t>
      </w:r>
      <w:proofErr w:type="spellEnd"/>
      <w:r w:rsidRPr="00824880">
        <w:rPr>
          <w:lang w:val="en-GB"/>
        </w:rPr>
        <w:t>-EGFP-TXNIP and 0.5</w:t>
      </w:r>
      <w:r w:rsidR="00466F84" w:rsidRPr="00824880">
        <w:rPr>
          <w:lang w:val="en-GB"/>
        </w:rPr>
        <w:t xml:space="preserve"> </w:t>
      </w:r>
      <w:r w:rsidRPr="00824880">
        <w:rPr>
          <w:lang w:val="en-GB"/>
        </w:rPr>
        <w:t>µg of packaging and envelope plasmids (</w:t>
      </w:r>
      <w:proofErr w:type="spellStart"/>
      <w:r w:rsidRPr="00824880">
        <w:rPr>
          <w:lang w:val="en-GB"/>
        </w:rPr>
        <w:t>pTRP-RSV.Rev</w:t>
      </w:r>
      <w:proofErr w:type="spellEnd"/>
      <w:r w:rsidRPr="00824880">
        <w:rPr>
          <w:lang w:val="en-GB"/>
        </w:rPr>
        <w:t xml:space="preserve">, </w:t>
      </w:r>
      <w:proofErr w:type="spellStart"/>
      <w:r w:rsidRPr="00824880">
        <w:rPr>
          <w:lang w:val="en-GB"/>
        </w:rPr>
        <w:t>pTRP</w:t>
      </w:r>
      <w:proofErr w:type="spellEnd"/>
      <w:r w:rsidRPr="00824880">
        <w:rPr>
          <w:lang w:val="en-GB"/>
        </w:rPr>
        <w:t xml:space="preserve">-GAG-Pol and </w:t>
      </w:r>
      <w:proofErr w:type="spellStart"/>
      <w:r w:rsidRPr="00824880">
        <w:rPr>
          <w:lang w:val="en-GB"/>
        </w:rPr>
        <w:t>pTRP-VSVg</w:t>
      </w:r>
      <w:proofErr w:type="spellEnd"/>
      <w:r w:rsidRPr="00824880">
        <w:rPr>
          <w:lang w:val="en-GB"/>
        </w:rPr>
        <w:t xml:space="preserve">) were used together with </w:t>
      </w:r>
      <w:proofErr w:type="spellStart"/>
      <w:r w:rsidRPr="00824880">
        <w:rPr>
          <w:lang w:val="en-GB"/>
        </w:rPr>
        <w:t>TurboFect</w:t>
      </w:r>
      <w:proofErr w:type="spellEnd"/>
      <w:r w:rsidRPr="00824880">
        <w:rPr>
          <w:lang w:val="en-GB"/>
        </w:rPr>
        <w:t xml:space="preserve"> Transfection Reagent (</w:t>
      </w:r>
      <w:proofErr w:type="spellStart"/>
      <w:r w:rsidRPr="00824880">
        <w:rPr>
          <w:lang w:val="en-GB"/>
        </w:rPr>
        <w:t>ThermoFisher</w:t>
      </w:r>
      <w:proofErr w:type="spellEnd"/>
      <w:r w:rsidRPr="00824880">
        <w:rPr>
          <w:lang w:val="en-GB"/>
        </w:rPr>
        <w:t xml:space="preserve"> Scientific). Cells were cultured for 48 h at 37ºC and 5%</w:t>
      </w:r>
      <w:r w:rsidR="00466F84" w:rsidRPr="00824880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CO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2</m:t>
            </m:r>
          </m:sub>
        </m:sSub>
      </m:oMath>
      <w:r w:rsidRPr="00824880">
        <w:rPr>
          <w:lang w:val="en-GB"/>
        </w:rPr>
        <w:t xml:space="preserve"> before harvesting the viral supernatant. For transduction of PB2B and MyLa2059</w:t>
      </w:r>
      <w:r w:rsidR="000E1823" w:rsidRPr="00824880">
        <w:rPr>
          <w:lang w:val="en-GB"/>
        </w:rPr>
        <w:t>,</w:t>
      </w:r>
      <w:r w:rsidRPr="00824880">
        <w:rPr>
          <w:lang w:val="en-GB"/>
        </w:rPr>
        <w:t xml:space="preserve"> cells were incubated with lentiviral supernatant for 72 h before being sorted using a </w:t>
      </w:r>
      <w:proofErr w:type="spellStart"/>
      <w:r w:rsidRPr="00824880">
        <w:rPr>
          <w:lang w:val="en-GB"/>
        </w:rPr>
        <w:t>FACSAria</w:t>
      </w:r>
      <w:proofErr w:type="spellEnd"/>
      <w:r w:rsidRPr="00824880">
        <w:rPr>
          <w:lang w:val="en-GB"/>
        </w:rPr>
        <w:t xml:space="preserve"> cell sorter (BD Biosciences, San Jose, CA</w:t>
      </w:r>
      <w:r w:rsidR="000E1823" w:rsidRPr="00824880">
        <w:rPr>
          <w:lang w:val="en-GB"/>
        </w:rPr>
        <w:t>, USA</w:t>
      </w:r>
      <w:r w:rsidRPr="00824880">
        <w:rPr>
          <w:lang w:val="en-GB"/>
        </w:rPr>
        <w:t xml:space="preserve">). Both cell types were transduced with </w:t>
      </w:r>
      <w:proofErr w:type="spellStart"/>
      <w:r w:rsidRPr="00824880">
        <w:rPr>
          <w:lang w:val="en-GB"/>
        </w:rPr>
        <w:t>pTRP</w:t>
      </w:r>
      <w:proofErr w:type="spellEnd"/>
      <w:r w:rsidRPr="00824880">
        <w:rPr>
          <w:lang w:val="en-GB"/>
        </w:rPr>
        <w:t xml:space="preserve">-EGFP accordingly. </w:t>
      </w:r>
      <w:bookmarkStart w:id="4" w:name="_Toc521534485"/>
      <w:bookmarkStart w:id="5" w:name="_Toc521573441"/>
    </w:p>
    <w:p w14:paraId="17FA5727" w14:textId="77777777" w:rsidR="00C04908" w:rsidRPr="00824880" w:rsidRDefault="00C04908" w:rsidP="00C04908">
      <w:pPr>
        <w:spacing w:line="480" w:lineRule="auto"/>
        <w:rPr>
          <w:lang w:val="en-GB"/>
        </w:rPr>
      </w:pPr>
    </w:p>
    <w:p w14:paraId="79EE2119" w14:textId="0A64060C" w:rsidR="00C04908" w:rsidRPr="00824880" w:rsidRDefault="00C04908" w:rsidP="00C04908">
      <w:pPr>
        <w:spacing w:line="480" w:lineRule="auto"/>
        <w:rPr>
          <w:i/>
          <w:lang w:val="en-GB"/>
        </w:rPr>
      </w:pPr>
      <w:r w:rsidRPr="00824880">
        <w:rPr>
          <w:i/>
          <w:lang w:val="en-GB"/>
        </w:rPr>
        <w:t xml:space="preserve">Flow </w:t>
      </w:r>
      <w:r w:rsidR="00DD3D3C" w:rsidRPr="00824880">
        <w:rPr>
          <w:i/>
          <w:lang w:val="en-GB"/>
        </w:rPr>
        <w:t>Cytometry</w:t>
      </w:r>
      <w:bookmarkEnd w:id="4"/>
      <w:bookmarkEnd w:id="5"/>
    </w:p>
    <w:p w14:paraId="3F78A32F" w14:textId="35F5645C" w:rsidR="00C04908" w:rsidRPr="00824880" w:rsidRDefault="00DD3D3C" w:rsidP="00C04908">
      <w:pPr>
        <w:spacing w:line="480" w:lineRule="auto"/>
        <w:rPr>
          <w:lang w:val="en-GB"/>
        </w:rPr>
      </w:pPr>
      <w:r w:rsidRPr="00824880">
        <w:rPr>
          <w:lang w:val="en-GB"/>
        </w:rPr>
        <w:t>Bromodeoxyuridine (</w:t>
      </w:r>
      <w:proofErr w:type="spellStart"/>
      <w:r w:rsidR="00C04908" w:rsidRPr="00824880">
        <w:rPr>
          <w:lang w:val="en-GB"/>
        </w:rPr>
        <w:t>BrdU</w:t>
      </w:r>
      <w:proofErr w:type="spellEnd"/>
      <w:r w:rsidRPr="00824880">
        <w:rPr>
          <w:lang w:val="en-GB"/>
        </w:rPr>
        <w:t>)</w:t>
      </w:r>
      <w:r w:rsidR="00C04908" w:rsidRPr="00824880">
        <w:rPr>
          <w:lang w:val="en-GB"/>
        </w:rPr>
        <w:t xml:space="preserve"> incorporation assays were performed using the APC </w:t>
      </w:r>
      <w:proofErr w:type="spellStart"/>
      <w:r w:rsidR="00C04908" w:rsidRPr="00824880">
        <w:rPr>
          <w:lang w:val="en-GB"/>
        </w:rPr>
        <w:t>BrdU</w:t>
      </w:r>
      <w:proofErr w:type="spellEnd"/>
      <w:r w:rsidR="00C04908" w:rsidRPr="00824880">
        <w:rPr>
          <w:lang w:val="en-GB"/>
        </w:rPr>
        <w:t xml:space="preserve"> Flow Kit (BD Biosciences, San Diego, CA</w:t>
      </w:r>
      <w:r w:rsidRPr="00824880">
        <w:rPr>
          <w:lang w:val="en-GB"/>
        </w:rPr>
        <w:t>, USA</w:t>
      </w:r>
      <w:r w:rsidR="00C04908" w:rsidRPr="00824880">
        <w:rPr>
          <w:lang w:val="en-GB"/>
        </w:rPr>
        <w:t xml:space="preserve">) according to </w:t>
      </w:r>
      <w:r w:rsidRPr="00824880">
        <w:rPr>
          <w:lang w:val="en-GB"/>
        </w:rPr>
        <w:t xml:space="preserve">the </w:t>
      </w:r>
      <w:r w:rsidR="00C04908" w:rsidRPr="00824880">
        <w:rPr>
          <w:lang w:val="en-GB"/>
        </w:rPr>
        <w:t>supplier’s protocol. Briefly, transduced Myla2059 and PB2B cells were incubated in media containing RPMI</w:t>
      </w:r>
      <w:r w:rsidRPr="00824880">
        <w:rPr>
          <w:lang w:val="en-GB"/>
        </w:rPr>
        <w:t>-</w:t>
      </w:r>
      <w:r w:rsidR="00C04908" w:rsidRPr="00824880">
        <w:rPr>
          <w:lang w:val="en-GB"/>
        </w:rPr>
        <w:t xml:space="preserve">1640 supplemented with </w:t>
      </w:r>
      <w:proofErr w:type="spellStart"/>
      <w:r w:rsidR="00C04908" w:rsidRPr="00824880">
        <w:rPr>
          <w:lang w:val="en-GB"/>
        </w:rPr>
        <w:t>BrdU</w:t>
      </w:r>
      <w:proofErr w:type="spellEnd"/>
      <w:r w:rsidR="00C04908" w:rsidRPr="00824880">
        <w:rPr>
          <w:lang w:val="en-GB"/>
        </w:rPr>
        <w:t xml:space="preserve"> (17.7</w:t>
      </w:r>
      <w:r w:rsidRPr="00824880">
        <w:rPr>
          <w:lang w:val="en-GB"/>
        </w:rPr>
        <w:t xml:space="preserve"> </w:t>
      </w:r>
      <w:proofErr w:type="spellStart"/>
      <w:r w:rsidRPr="00824880">
        <w:rPr>
          <w:lang w:val="en-GB"/>
        </w:rPr>
        <w:t>μ</w:t>
      </w:r>
      <w:r w:rsidR="00C04908" w:rsidRPr="00824880">
        <w:rPr>
          <w:smallCaps/>
          <w:color w:val="FF6600"/>
          <w:lang w:val="en-GB"/>
        </w:rPr>
        <w:t>M</w:t>
      </w:r>
      <w:proofErr w:type="spellEnd"/>
      <w:r w:rsidR="00C04908" w:rsidRPr="00824880">
        <w:rPr>
          <w:lang w:val="en-GB"/>
        </w:rPr>
        <w:t>) for 2 h. The cells were subsequently fixated and permeabilized, treated with DNase for 60 min at 37ºC and stained with APC anti-</w:t>
      </w:r>
      <w:proofErr w:type="spellStart"/>
      <w:r w:rsidR="00C04908" w:rsidRPr="00824880">
        <w:rPr>
          <w:lang w:val="en-GB"/>
        </w:rPr>
        <w:t>BrdU</w:t>
      </w:r>
      <w:proofErr w:type="spellEnd"/>
      <w:r w:rsidR="00C04908" w:rsidRPr="00824880">
        <w:rPr>
          <w:lang w:val="en-GB"/>
        </w:rPr>
        <w:t xml:space="preserve"> and 7-</w:t>
      </w:r>
      <w:r w:rsidR="005A2DE6" w:rsidRPr="00824880">
        <w:rPr>
          <w:lang w:val="en-GB"/>
        </w:rPr>
        <w:t>aminoactinomycin</w:t>
      </w:r>
      <w:r w:rsidR="00C04908" w:rsidRPr="00824880">
        <w:rPr>
          <w:lang w:val="en-GB"/>
        </w:rPr>
        <w:t>. The samples were finally analy</w:t>
      </w:r>
      <w:r w:rsidR="005A2DE6" w:rsidRPr="00824880">
        <w:rPr>
          <w:lang w:val="en-GB"/>
        </w:rPr>
        <w:t>s</w:t>
      </w:r>
      <w:r w:rsidR="00C04908" w:rsidRPr="00824880">
        <w:rPr>
          <w:lang w:val="en-GB"/>
        </w:rPr>
        <w:t xml:space="preserve">ed by flow cytometry on a FACS </w:t>
      </w:r>
      <w:proofErr w:type="spellStart"/>
      <w:r w:rsidR="00C04908" w:rsidRPr="00824880">
        <w:rPr>
          <w:lang w:val="en-GB"/>
        </w:rPr>
        <w:t>Calibur</w:t>
      </w:r>
      <w:proofErr w:type="spellEnd"/>
      <w:r w:rsidR="00C04908" w:rsidRPr="00824880">
        <w:rPr>
          <w:lang w:val="en-GB"/>
        </w:rPr>
        <w:t>.</w:t>
      </w:r>
    </w:p>
    <w:p w14:paraId="12191985" w14:textId="77777777" w:rsidR="00FE445E" w:rsidRPr="00824880" w:rsidRDefault="00FE445E">
      <w:pPr>
        <w:rPr>
          <w:lang w:val="en-GB"/>
        </w:rPr>
      </w:pPr>
    </w:p>
    <w:sectPr w:rsidR="00FE445E" w:rsidRPr="008248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9C"/>
    <w:rsid w:val="00074CCF"/>
    <w:rsid w:val="000E1823"/>
    <w:rsid w:val="000F4F51"/>
    <w:rsid w:val="001D00B3"/>
    <w:rsid w:val="002D7EE8"/>
    <w:rsid w:val="0031064D"/>
    <w:rsid w:val="0032799C"/>
    <w:rsid w:val="003A2ECF"/>
    <w:rsid w:val="003E5CE4"/>
    <w:rsid w:val="00466F84"/>
    <w:rsid w:val="005A2DE6"/>
    <w:rsid w:val="00635B43"/>
    <w:rsid w:val="00824880"/>
    <w:rsid w:val="009834DD"/>
    <w:rsid w:val="00C04908"/>
    <w:rsid w:val="00DD3D3C"/>
    <w:rsid w:val="00F2222F"/>
    <w:rsid w:val="00F43B25"/>
    <w:rsid w:val="00FA4202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A71010"/>
  <w15:chartTrackingRefBased/>
  <w15:docId w15:val="{5FC7058C-52B3-4868-8742-C455190D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4908"/>
    <w:pPr>
      <w:keepNext/>
      <w:keepLines/>
      <w:spacing w:before="40"/>
      <w:outlineLvl w:val="1"/>
    </w:pPr>
    <w:rPr>
      <w:rFonts w:ascii="Calibri Light" w:eastAsia="Yu Gothic Light" w:hAnsi="Calibri Light"/>
      <w:color w:val="2F5496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04908"/>
    <w:rPr>
      <w:rFonts w:ascii="Calibri Light" w:eastAsia="Yu Gothic Light" w:hAnsi="Calibri Light" w:cs="Times New Roman"/>
      <w:color w:val="2F5496"/>
      <w:sz w:val="26"/>
      <w:szCs w:val="26"/>
      <w:lang w:val="en-US"/>
    </w:rPr>
  </w:style>
  <w:style w:type="paragraph" w:styleId="StandardWeb">
    <w:name w:val="Normal (Web)"/>
    <w:basedOn w:val="Standard"/>
    <w:uiPriority w:val="99"/>
    <w:unhideWhenUsed/>
    <w:rsid w:val="00C04908"/>
    <w:pPr>
      <w:spacing w:before="100" w:beforeAutospacing="1" w:after="100" w:afterAutospacing="1"/>
    </w:pPr>
  </w:style>
  <w:style w:type="character" w:customStyle="1" w:styleId="positiondisplay1">
    <w:name w:val="positiondisplay1"/>
    <w:basedOn w:val="Absatz-Standardschriftart"/>
    <w:rsid w:val="00C0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Stolearenco</dc:creator>
  <cp:keywords/>
  <dc:description/>
  <cp:lastModifiedBy>Elisabeth Stöcklin</cp:lastModifiedBy>
  <cp:revision>7</cp:revision>
  <dcterms:created xsi:type="dcterms:W3CDTF">2020-05-11T12:45:00Z</dcterms:created>
  <dcterms:modified xsi:type="dcterms:W3CDTF">2020-07-30T11:43:00Z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