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6A" w:rsidRPr="006749ED" w:rsidRDefault="009625E3" w:rsidP="0055376A">
      <w:pPr>
        <w:rPr>
          <w:rFonts w:ascii="Calibri" w:eastAsia="宋体" w:hAnsi="Calibri" w:cs="Calibri"/>
          <w:sz w:val="18"/>
          <w:szCs w:val="18"/>
        </w:rPr>
      </w:pPr>
      <w:r w:rsidRPr="006749ED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Suppl. Table </w:t>
      </w:r>
      <w:r w:rsidR="002D0A2C" w:rsidRPr="006749ED">
        <w:rPr>
          <w:rFonts w:ascii="Calibri" w:eastAsia="Arial Unicode MS" w:hAnsi="Calibri" w:cs="Calibri"/>
          <w:b/>
          <w:kern w:val="0"/>
          <w:sz w:val="20"/>
          <w:szCs w:val="20"/>
        </w:rPr>
        <w:t>3</w:t>
      </w:r>
      <w:r w:rsidRPr="006749ED">
        <w:rPr>
          <w:rFonts w:ascii="Calibri" w:eastAsia="Arial Unicode MS" w:hAnsi="Calibri" w:cs="Calibri"/>
          <w:b/>
          <w:kern w:val="0"/>
          <w:sz w:val="20"/>
          <w:szCs w:val="20"/>
        </w:rPr>
        <w:t>.</w:t>
      </w:r>
      <w:r w:rsidR="0055376A" w:rsidRPr="006749ED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 Comparison of renal pathological features between different FPW groups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4"/>
        <w:gridCol w:w="1417"/>
        <w:gridCol w:w="1418"/>
        <w:gridCol w:w="1417"/>
        <w:gridCol w:w="1418"/>
        <w:gridCol w:w="1417"/>
      </w:tblGrid>
      <w:tr w:rsidR="0055376A" w:rsidRPr="006749ED" w:rsidTr="0035688B">
        <w:trPr>
          <w:trHeight w:val="255"/>
        </w:trPr>
        <w:tc>
          <w:tcPr>
            <w:tcW w:w="501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FPW &lt;869nm (n=26)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FPW ≥869nm (n=37)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>P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 xml:space="preserve"> value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>r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  <w:vertAlign w:val="subscript"/>
              </w:rPr>
              <w:t>s</w:t>
            </w:r>
            <w:r w:rsidRPr="006749ED">
              <w:rPr>
                <w:rFonts w:ascii="Calibri" w:eastAsia="宋体" w:hAnsi="Calibri" w:cs="Calibri"/>
                <w:sz w:val="18"/>
                <w:szCs w:val="18"/>
                <w:vertAlign w:val="superscript"/>
              </w:rPr>
              <w:t>a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 xml:space="preserve"> 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>(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>P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 xml:space="preserve"> value)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>r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  <w:vertAlign w:val="subscript"/>
              </w:rPr>
              <w:t>s</w:t>
            </w:r>
            <w:r w:rsidRPr="006749ED">
              <w:rPr>
                <w:rFonts w:ascii="Calibri" w:eastAsia="宋体" w:hAnsi="Calibri" w:cs="Calibri"/>
                <w:sz w:val="18"/>
                <w:szCs w:val="18"/>
                <w:vertAlign w:val="superscript"/>
              </w:rPr>
              <w:t>a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 xml:space="preserve"> 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>(</w:t>
            </w:r>
            <w:r w:rsidRPr="006749ED">
              <w:rPr>
                <w:rFonts w:ascii="Calibri" w:eastAsia="宋体" w:hAnsi="Calibri" w:cs="Calibri"/>
                <w:i/>
                <w:sz w:val="18"/>
                <w:szCs w:val="18"/>
              </w:rPr>
              <w:t>P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 xml:space="preserve"> value)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Glomerular TMA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Endothelial cell swelling and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0.235(0.248)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-0.186(0.269)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0.891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Mesangiolysis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0.150(0.466)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b/>
                <w:bCs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b/>
                <w:bCs/>
                <w:sz w:val="18"/>
                <w:szCs w:val="18"/>
              </w:rPr>
              <w:t>0.351(0.033)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0.351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Capillary fibrinoid necrosis and/or thrombi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-0.173(0.397)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0.185(0.273)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0.473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GBM double contours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0.5(0-1)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b/>
                <w:bCs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b/>
                <w:bCs/>
                <w:sz w:val="18"/>
                <w:szCs w:val="18"/>
              </w:rPr>
              <w:t>0.403(0.041)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0.139(0.411)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0.578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Mesangial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0.129(0.529)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-0.013(0.939)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0.714</w:t>
            </w:r>
          </w:p>
        </w:tc>
      </w:tr>
      <w:tr w:rsidR="0055376A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Global and segmental glomerulosclerosis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1(1-2)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-0.268(0.185)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1(1-2)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b/>
                <w:bCs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b/>
                <w:bCs/>
                <w:sz w:val="18"/>
                <w:szCs w:val="18"/>
              </w:rPr>
              <w:t>0.369(0.025)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376A" w:rsidRPr="006749ED" w:rsidRDefault="0055376A" w:rsidP="0035688B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0.284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Subendothelial edema on 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1(1-1.25)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b/>
                <w:bCs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b/>
                <w:bCs/>
                <w:sz w:val="18"/>
                <w:szCs w:val="18"/>
              </w:rPr>
              <w:t>0.515(0.008)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1(0.5-2)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0.027(0.875)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0.443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Arteriolar and arterial TMA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Thrombi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-0.038(0.852)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0.199(0.237)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0.321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Endothelial cell swelling and subintimal myxiod edema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1(1-3)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0.143(0.484)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2(1-3)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-0.294(0.078)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0.150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Arteriolar fibrinoid necrosis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0.093(0.650)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0.233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Onion skin lesions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1(1-3)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-0.371(0.062)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2(0.5-3)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-0.199(0.239)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0.085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Arteriolar hyalinosis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0.171(0.405)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0(0-0.5)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-0.307(0.064)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0.347</w:t>
            </w: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Tubulointerstitial lesions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</w:tr>
      <w:tr w:rsidR="0035291D" w:rsidRPr="006749ED" w:rsidTr="0035688B">
        <w:trPr>
          <w:trHeight w:val="255"/>
        </w:trPr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ind w:firstLineChars="200" w:firstLine="360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Tubular atrophy/Interstitial fibrosis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2(1-3)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-0.058(0.778)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3(1-3)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-0.063(0.710)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1D" w:rsidRPr="006749ED" w:rsidRDefault="0035291D" w:rsidP="0035291D">
            <w:pPr>
              <w:spacing w:line="240" w:lineRule="exact"/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</w:rPr>
              <w:t>0.060</w:t>
            </w:r>
          </w:p>
        </w:tc>
      </w:tr>
      <w:tr w:rsidR="0035291D" w:rsidRPr="00306BBC" w:rsidTr="0035688B">
        <w:trPr>
          <w:trHeight w:val="255"/>
        </w:trPr>
        <w:tc>
          <w:tcPr>
            <w:tcW w:w="12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1D" w:rsidRPr="006749ED" w:rsidRDefault="0035291D" w:rsidP="0035291D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</w:pPr>
            <w:r w:rsidRPr="006749ED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Scoring of pathological variables was expressed as median (interquartile range).</w:t>
            </w:r>
            <w:r w:rsidRPr="006749ED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6749ED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FPW, foot process width; TMA, thrombotic microangiopathy; EM, electron microscopy; GBM, glomerular basement membrane.</w:t>
            </w:r>
          </w:p>
          <w:p w:rsidR="0035291D" w:rsidRPr="001E74A9" w:rsidRDefault="0035291D" w:rsidP="0035291D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749ED">
              <w:rPr>
                <w:rFonts w:ascii="Calibri" w:eastAsia="宋体" w:hAnsi="Calibri" w:cs="Calibri"/>
                <w:sz w:val="18"/>
                <w:szCs w:val="18"/>
                <w:vertAlign w:val="superscript"/>
              </w:rPr>
              <w:t>a</w:t>
            </w:r>
            <w:r w:rsidRPr="006749ED">
              <w:rPr>
                <w:rFonts w:ascii="Calibri" w:eastAsia="宋体" w:hAnsi="Calibri" w:cs="Calibri"/>
                <w:sz w:val="18"/>
                <w:szCs w:val="18"/>
              </w:rPr>
              <w:t>Spearman's coefficient.</w:t>
            </w:r>
            <w:bookmarkStart w:id="0" w:name="_GoBack"/>
            <w:bookmarkEnd w:id="0"/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073F7" w:rsidRPr="0055376A" w:rsidRDefault="00B073F7" w:rsidP="0055376A">
      <w:pPr>
        <w:widowControl/>
        <w:rPr>
          <w:rFonts w:ascii="Calibri" w:eastAsia="宋体" w:hAnsi="Calibri" w:cs="Calibri"/>
          <w:sz w:val="24"/>
          <w:szCs w:val="24"/>
        </w:rPr>
      </w:pPr>
    </w:p>
    <w:sectPr w:rsidR="00B073F7" w:rsidRPr="0055376A" w:rsidSect="005537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F5" w:rsidRDefault="002A43F5" w:rsidP="009625E3">
      <w:r>
        <w:separator/>
      </w:r>
    </w:p>
  </w:endnote>
  <w:endnote w:type="continuationSeparator" w:id="0">
    <w:p w:rsidR="002A43F5" w:rsidRDefault="002A43F5" w:rsidP="0096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F5" w:rsidRDefault="002A43F5" w:rsidP="009625E3">
      <w:r>
        <w:separator/>
      </w:r>
    </w:p>
  </w:footnote>
  <w:footnote w:type="continuationSeparator" w:id="0">
    <w:p w:rsidR="002A43F5" w:rsidRDefault="002A43F5" w:rsidP="0096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A"/>
    <w:rsid w:val="001E0E3F"/>
    <w:rsid w:val="00210ECC"/>
    <w:rsid w:val="00236C8E"/>
    <w:rsid w:val="002A43F5"/>
    <w:rsid w:val="002C1CC2"/>
    <w:rsid w:val="002D0A2C"/>
    <w:rsid w:val="0035291D"/>
    <w:rsid w:val="0055376A"/>
    <w:rsid w:val="006749ED"/>
    <w:rsid w:val="006A0AFD"/>
    <w:rsid w:val="007B2E3D"/>
    <w:rsid w:val="008177A5"/>
    <w:rsid w:val="00841E48"/>
    <w:rsid w:val="009625E3"/>
    <w:rsid w:val="009B78BD"/>
    <w:rsid w:val="00B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C9173-9C83-40C1-89B0-5028E6E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25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2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2020-07-11T06:03:00Z</dcterms:created>
  <dcterms:modified xsi:type="dcterms:W3CDTF">2020-07-11T06:04:00Z</dcterms:modified>
</cp:coreProperties>
</file>