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AD" w:rsidRPr="00275B3B" w:rsidRDefault="00CF1CAD" w:rsidP="00CF1CAD">
      <w:pPr>
        <w:pStyle w:val="Beschriftung"/>
        <w:keepNext/>
        <w:spacing w:line="480" w:lineRule="auto"/>
        <w:rPr>
          <w:rFonts w:asciiTheme="minorHAnsi" w:hAnsiTheme="minorHAnsi" w:cstheme="minorHAnsi"/>
          <w:i w:val="0"/>
          <w:sz w:val="22"/>
          <w:szCs w:val="22"/>
          <w:lang w:val="en-GB"/>
        </w:rPr>
      </w:pPr>
      <w:bookmarkStart w:id="0" w:name="_GoBack"/>
      <w:bookmarkEnd w:id="0"/>
      <w:r w:rsidRPr="00275B3B">
        <w:rPr>
          <w:rFonts w:asciiTheme="minorHAnsi" w:hAnsiTheme="minorHAnsi" w:cstheme="minorHAnsi"/>
          <w:b/>
          <w:bCs/>
          <w:i w:val="0"/>
          <w:sz w:val="22"/>
          <w:szCs w:val="22"/>
          <w:lang w:val="en-GB"/>
        </w:rPr>
        <w:t xml:space="preserve">Supplementary table </w:t>
      </w:r>
      <w:r w:rsidR="00275B3B" w:rsidRPr="00275B3B">
        <w:rPr>
          <w:rFonts w:asciiTheme="minorHAnsi" w:hAnsiTheme="minorHAnsi" w:cstheme="minorHAnsi"/>
          <w:b/>
          <w:bCs/>
          <w:i w:val="0"/>
          <w:sz w:val="22"/>
          <w:szCs w:val="22"/>
          <w:lang w:val="en-GB"/>
        </w:rPr>
        <w:t>1</w:t>
      </w:r>
      <w:r w:rsidRPr="00275B3B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 Factors influencing patient satisfaction (univariate and multivariate analyses)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1828"/>
        <w:gridCol w:w="1768"/>
        <w:gridCol w:w="1828"/>
        <w:gridCol w:w="1767"/>
      </w:tblGrid>
      <w:tr w:rsidR="00CF1CAD" w:rsidRPr="00275B3B" w:rsidTr="00861364">
        <w:tc>
          <w:tcPr>
            <w:tcW w:w="1925" w:type="dxa"/>
            <w:vMerge w:val="restart"/>
            <w:tcBorders>
              <w:top w:val="single" w:sz="4" w:space="0" w:color="auto"/>
            </w:tcBorders>
            <w:vAlign w:val="center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</w:tcBorders>
            <w:vAlign w:val="center"/>
          </w:tcPr>
          <w:p w:rsidR="00CF1CAD" w:rsidRPr="00275B3B" w:rsidRDefault="00CF1CAD" w:rsidP="00861364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Univariate analysis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</w:tcBorders>
            <w:vAlign w:val="center"/>
          </w:tcPr>
          <w:p w:rsidR="00CF1CAD" w:rsidRPr="00275B3B" w:rsidRDefault="00CF1CAD" w:rsidP="00861364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Multivariate analysis</w:t>
            </w:r>
          </w:p>
        </w:tc>
      </w:tr>
      <w:tr w:rsidR="00CF1CAD" w:rsidRPr="00275B3B" w:rsidTr="00861364">
        <w:tc>
          <w:tcPr>
            <w:tcW w:w="1925" w:type="dxa"/>
            <w:vMerge/>
            <w:tcBorders>
              <w:bottom w:val="double" w:sz="4" w:space="0" w:color="auto"/>
            </w:tcBorders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25" w:type="dxa"/>
            <w:tcBorders>
              <w:bottom w:val="double" w:sz="4" w:space="0" w:color="auto"/>
            </w:tcBorders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Regression coefficient</w:t>
            </w:r>
          </w:p>
        </w:tc>
        <w:tc>
          <w:tcPr>
            <w:tcW w:w="1926" w:type="dxa"/>
            <w:tcBorders>
              <w:bottom w:val="double" w:sz="4" w:space="0" w:color="auto"/>
            </w:tcBorders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1926" w:type="dxa"/>
            <w:tcBorders>
              <w:bottom w:val="double" w:sz="4" w:space="0" w:color="auto"/>
            </w:tcBorders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Regression coefficient</w:t>
            </w:r>
          </w:p>
        </w:tc>
        <w:tc>
          <w:tcPr>
            <w:tcW w:w="1926" w:type="dxa"/>
            <w:tcBorders>
              <w:bottom w:val="double" w:sz="4" w:space="0" w:color="auto"/>
            </w:tcBorders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p-value</w:t>
            </w:r>
          </w:p>
        </w:tc>
      </w:tr>
      <w:tr w:rsidR="00CF1CAD" w:rsidRPr="00275B3B" w:rsidTr="00861364">
        <w:tc>
          <w:tcPr>
            <w:tcW w:w="1925" w:type="dxa"/>
            <w:tcBorders>
              <w:top w:val="double" w:sz="4" w:space="0" w:color="auto"/>
            </w:tcBorders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Age (in years)</w:t>
            </w:r>
          </w:p>
        </w:tc>
        <w:tc>
          <w:tcPr>
            <w:tcW w:w="1925" w:type="dxa"/>
            <w:tcBorders>
              <w:top w:val="double" w:sz="4" w:space="0" w:color="auto"/>
            </w:tcBorders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-0.13</w:t>
            </w:r>
          </w:p>
        </w:tc>
        <w:tc>
          <w:tcPr>
            <w:tcW w:w="1926" w:type="dxa"/>
            <w:tcBorders>
              <w:top w:val="double" w:sz="4" w:space="0" w:color="auto"/>
            </w:tcBorders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0.074</w:t>
            </w:r>
          </w:p>
        </w:tc>
        <w:tc>
          <w:tcPr>
            <w:tcW w:w="1926" w:type="dxa"/>
            <w:tcBorders>
              <w:top w:val="double" w:sz="4" w:space="0" w:color="auto"/>
            </w:tcBorders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-0.10</w:t>
            </w:r>
          </w:p>
        </w:tc>
        <w:tc>
          <w:tcPr>
            <w:tcW w:w="1926" w:type="dxa"/>
            <w:tcBorders>
              <w:top w:val="double" w:sz="4" w:space="0" w:color="auto"/>
            </w:tcBorders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0.234</w:t>
            </w:r>
          </w:p>
        </w:tc>
      </w:tr>
      <w:tr w:rsidR="00CF1CAD" w:rsidRPr="00275B3B" w:rsidTr="00861364">
        <w:tc>
          <w:tcPr>
            <w:tcW w:w="1925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Smoking</w:t>
            </w:r>
          </w:p>
        </w:tc>
        <w:tc>
          <w:tcPr>
            <w:tcW w:w="1925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0.279</w:t>
            </w:r>
          </w:p>
        </w:tc>
        <w:tc>
          <w:tcPr>
            <w:tcW w:w="1926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0.091</w:t>
            </w:r>
          </w:p>
        </w:tc>
        <w:tc>
          <w:tcPr>
            <w:tcW w:w="1926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0.212</w:t>
            </w:r>
          </w:p>
        </w:tc>
        <w:tc>
          <w:tcPr>
            <w:tcW w:w="1926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0.201</w:t>
            </w:r>
          </w:p>
        </w:tc>
      </w:tr>
      <w:tr w:rsidR="00CF1CAD" w:rsidRPr="00275B3B" w:rsidTr="00861364">
        <w:tc>
          <w:tcPr>
            <w:tcW w:w="1925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Breast cancer </w:t>
            </w:r>
          </w:p>
        </w:tc>
        <w:tc>
          <w:tcPr>
            <w:tcW w:w="1925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0.246</w:t>
            </w:r>
          </w:p>
        </w:tc>
        <w:tc>
          <w:tcPr>
            <w:tcW w:w="1926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0.164</w:t>
            </w:r>
          </w:p>
        </w:tc>
        <w:tc>
          <w:tcPr>
            <w:tcW w:w="1926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0.069</w:t>
            </w:r>
          </w:p>
        </w:tc>
        <w:tc>
          <w:tcPr>
            <w:tcW w:w="1926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0.727</w:t>
            </w:r>
          </w:p>
        </w:tc>
      </w:tr>
      <w:tr w:rsidR="00CF1CAD" w:rsidRPr="00275B3B" w:rsidTr="00861364">
        <w:tc>
          <w:tcPr>
            <w:tcW w:w="1925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Precancerosis</w:t>
            </w:r>
            <w:proofErr w:type="spellEnd"/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25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0.083</w:t>
            </w:r>
          </w:p>
        </w:tc>
        <w:tc>
          <w:tcPr>
            <w:tcW w:w="1926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0.710</w:t>
            </w:r>
          </w:p>
        </w:tc>
        <w:tc>
          <w:tcPr>
            <w:tcW w:w="1926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0.230</w:t>
            </w:r>
          </w:p>
        </w:tc>
        <w:tc>
          <w:tcPr>
            <w:tcW w:w="1926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0.308</w:t>
            </w:r>
          </w:p>
        </w:tc>
      </w:tr>
      <w:tr w:rsidR="00CF1CAD" w:rsidRPr="00275B3B" w:rsidTr="00861364">
        <w:tc>
          <w:tcPr>
            <w:tcW w:w="1925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Bilateral reconstruction</w:t>
            </w:r>
          </w:p>
        </w:tc>
        <w:tc>
          <w:tcPr>
            <w:tcW w:w="1925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-0.154</w:t>
            </w:r>
          </w:p>
        </w:tc>
        <w:tc>
          <w:tcPr>
            <w:tcW w:w="1926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0.407</w:t>
            </w:r>
          </w:p>
        </w:tc>
        <w:tc>
          <w:tcPr>
            <w:tcW w:w="1926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-0.210</w:t>
            </w:r>
          </w:p>
        </w:tc>
        <w:tc>
          <w:tcPr>
            <w:tcW w:w="1926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0.312</w:t>
            </w:r>
          </w:p>
        </w:tc>
      </w:tr>
      <w:tr w:rsidR="00CF1CAD" w:rsidRPr="00275B3B" w:rsidTr="00861364">
        <w:tc>
          <w:tcPr>
            <w:tcW w:w="1925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Follow-up time</w:t>
            </w:r>
          </w:p>
        </w:tc>
        <w:tc>
          <w:tcPr>
            <w:tcW w:w="1925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-0.056</w:t>
            </w:r>
          </w:p>
        </w:tc>
        <w:tc>
          <w:tcPr>
            <w:tcW w:w="1926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0.015</w:t>
            </w:r>
          </w:p>
        </w:tc>
        <w:tc>
          <w:tcPr>
            <w:tcW w:w="1926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-0.43</w:t>
            </w:r>
          </w:p>
        </w:tc>
        <w:tc>
          <w:tcPr>
            <w:tcW w:w="1926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0.071</w:t>
            </w:r>
          </w:p>
        </w:tc>
      </w:tr>
      <w:tr w:rsidR="00CF1CAD" w:rsidRPr="00275B3B" w:rsidTr="00861364">
        <w:tc>
          <w:tcPr>
            <w:tcW w:w="1925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Complications* </w:t>
            </w:r>
          </w:p>
        </w:tc>
        <w:tc>
          <w:tcPr>
            <w:tcW w:w="1925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0.260</w:t>
            </w:r>
          </w:p>
        </w:tc>
        <w:tc>
          <w:tcPr>
            <w:tcW w:w="1926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0.156</w:t>
            </w:r>
          </w:p>
        </w:tc>
        <w:tc>
          <w:tcPr>
            <w:tcW w:w="1926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0.181</w:t>
            </w:r>
          </w:p>
        </w:tc>
        <w:tc>
          <w:tcPr>
            <w:tcW w:w="1926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0.331</w:t>
            </w:r>
          </w:p>
        </w:tc>
      </w:tr>
      <w:tr w:rsidR="00CF1CAD" w:rsidRPr="00275B3B" w:rsidTr="00861364">
        <w:tc>
          <w:tcPr>
            <w:tcW w:w="1925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Secondary vs. primary reconstruction</w:t>
            </w:r>
          </w:p>
        </w:tc>
        <w:tc>
          <w:tcPr>
            <w:tcW w:w="1925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-0.383</w:t>
            </w:r>
          </w:p>
        </w:tc>
        <w:tc>
          <w:tcPr>
            <w:tcW w:w="1926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0.033</w:t>
            </w:r>
          </w:p>
        </w:tc>
        <w:tc>
          <w:tcPr>
            <w:tcW w:w="1926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-0.356</w:t>
            </w:r>
          </w:p>
        </w:tc>
        <w:tc>
          <w:tcPr>
            <w:tcW w:w="1926" w:type="dxa"/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0.068</w:t>
            </w:r>
          </w:p>
        </w:tc>
      </w:tr>
      <w:tr w:rsidR="00CF1CAD" w:rsidRPr="00275B3B" w:rsidTr="00861364">
        <w:tc>
          <w:tcPr>
            <w:tcW w:w="1925" w:type="dxa"/>
            <w:tcBorders>
              <w:bottom w:val="single" w:sz="4" w:space="0" w:color="auto"/>
            </w:tcBorders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Postoperative chemotherapy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0.136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0.630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0.330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CF1CAD" w:rsidRPr="00275B3B" w:rsidRDefault="00CF1CAD" w:rsidP="00861364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5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0.232</w:t>
            </w:r>
          </w:p>
        </w:tc>
      </w:tr>
    </w:tbl>
    <w:p w:rsidR="00AD1D12" w:rsidRPr="00275B3B" w:rsidRDefault="00CF1CAD" w:rsidP="00275B3B">
      <w:pPr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275B3B">
        <w:rPr>
          <w:rFonts w:asciiTheme="minorHAnsi" w:eastAsia="Arial" w:hAnsiTheme="minorHAnsi" w:cstheme="minorHAnsi"/>
          <w:sz w:val="22"/>
          <w:szCs w:val="22"/>
          <w:lang w:val="en-US"/>
        </w:rPr>
        <w:t>*Complications include loss of implant, any seroma, infection, rash and Baker grade III/IV capsular fibrosis</w:t>
      </w:r>
    </w:p>
    <w:sectPr w:rsidR="00AD1D12" w:rsidRPr="00275B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AD"/>
    <w:rsid w:val="00064ED4"/>
    <w:rsid w:val="00275B3B"/>
    <w:rsid w:val="00311D71"/>
    <w:rsid w:val="00657E98"/>
    <w:rsid w:val="00794527"/>
    <w:rsid w:val="00986763"/>
    <w:rsid w:val="00AF1E55"/>
    <w:rsid w:val="00CC6F3F"/>
    <w:rsid w:val="00CF1CAD"/>
    <w:rsid w:val="00DA38A8"/>
    <w:rsid w:val="00DF2DCF"/>
    <w:rsid w:val="00F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F61C0-0B62-49FC-A060-7E4C75F5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1C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rsid w:val="00CF1CAD"/>
    <w:pPr>
      <w:suppressLineNumbers/>
      <w:spacing w:before="120" w:after="120"/>
    </w:pPr>
    <w:rPr>
      <w:i/>
      <w:iCs/>
    </w:rPr>
  </w:style>
  <w:style w:type="table" w:styleId="Tabellenraster">
    <w:name w:val="Table Grid"/>
    <w:basedOn w:val="NormaleTabelle"/>
    <w:uiPriority w:val="39"/>
    <w:rsid w:val="00CF1CAD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Beier</dc:creator>
  <cp:keywords/>
  <dc:description/>
  <cp:lastModifiedBy>Karsten, Maria Margarete</cp:lastModifiedBy>
  <cp:revision>2</cp:revision>
  <dcterms:created xsi:type="dcterms:W3CDTF">2020-08-31T07:01:00Z</dcterms:created>
  <dcterms:modified xsi:type="dcterms:W3CDTF">2020-08-31T07:01:00Z</dcterms:modified>
</cp:coreProperties>
</file>