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683C2" w14:textId="77777777" w:rsidR="009948B0" w:rsidRPr="008F194F" w:rsidRDefault="009948B0" w:rsidP="008F194F">
      <w:pPr>
        <w:spacing w:after="0" w:line="480" w:lineRule="auto"/>
        <w:rPr>
          <w:sz w:val="24"/>
          <w:szCs w:val="24"/>
          <w:lang w:val="en-US"/>
        </w:rPr>
      </w:pPr>
      <w:r w:rsidRPr="008F194F">
        <w:rPr>
          <w:b/>
          <w:sz w:val="24"/>
          <w:szCs w:val="24"/>
          <w:lang w:val="en-US"/>
        </w:rPr>
        <w:t>Materials and Methods</w:t>
      </w:r>
    </w:p>
    <w:p w14:paraId="1441448A" w14:textId="7F6F1712" w:rsidR="00A751E2" w:rsidRDefault="00534782" w:rsidP="008F194F">
      <w:pPr>
        <w:spacing w:after="0" w:line="480" w:lineRule="auto"/>
        <w:rPr>
          <w:sz w:val="24"/>
          <w:szCs w:val="24"/>
        </w:rPr>
      </w:pPr>
      <w:r>
        <w:rPr>
          <w:sz w:val="24"/>
          <w:szCs w:val="24"/>
        </w:rPr>
        <w:t>More than 1</w:t>
      </w:r>
      <w:r w:rsidR="00062375">
        <w:rPr>
          <w:sz w:val="24"/>
          <w:szCs w:val="24"/>
        </w:rPr>
        <w:t>,</w:t>
      </w:r>
      <w:r>
        <w:rPr>
          <w:sz w:val="24"/>
          <w:szCs w:val="24"/>
        </w:rPr>
        <w:t>140 lung and 1</w:t>
      </w:r>
      <w:r w:rsidR="00062375">
        <w:rPr>
          <w:sz w:val="24"/>
          <w:szCs w:val="24"/>
        </w:rPr>
        <w:t>,</w:t>
      </w:r>
      <w:r>
        <w:rPr>
          <w:sz w:val="24"/>
          <w:szCs w:val="24"/>
        </w:rPr>
        <w:t xml:space="preserve">120 heart transplantations have been performed at the </w:t>
      </w:r>
      <w:r w:rsidR="003E0FAF">
        <w:rPr>
          <w:sz w:val="24"/>
          <w:szCs w:val="24"/>
        </w:rPr>
        <w:t xml:space="preserve">transplantation </w:t>
      </w:r>
      <w:r>
        <w:rPr>
          <w:sz w:val="24"/>
          <w:szCs w:val="24"/>
        </w:rPr>
        <w:t xml:space="preserve">centre, </w:t>
      </w:r>
      <w:r w:rsidR="003E0FAF">
        <w:rPr>
          <w:sz w:val="24"/>
          <w:szCs w:val="24"/>
        </w:rPr>
        <w:t xml:space="preserve">and approximately half of </w:t>
      </w:r>
      <w:r w:rsidR="00337450">
        <w:rPr>
          <w:sz w:val="24"/>
          <w:szCs w:val="24"/>
        </w:rPr>
        <w:t xml:space="preserve">these </w:t>
      </w:r>
      <w:r w:rsidR="0074480B">
        <w:rPr>
          <w:sz w:val="24"/>
          <w:szCs w:val="24"/>
        </w:rPr>
        <w:t xml:space="preserve">patients </w:t>
      </w:r>
      <w:r w:rsidR="003E0FAF">
        <w:rPr>
          <w:sz w:val="24"/>
          <w:szCs w:val="24"/>
        </w:rPr>
        <w:t xml:space="preserve">are followed up at the centre. </w:t>
      </w:r>
      <w:r w:rsidR="00337450" w:rsidRPr="004B5AB4">
        <w:rPr>
          <w:sz w:val="24"/>
          <w:szCs w:val="24"/>
        </w:rPr>
        <w:t xml:space="preserve">All </w:t>
      </w:r>
      <w:r w:rsidR="00062375">
        <w:rPr>
          <w:sz w:val="24"/>
          <w:szCs w:val="24"/>
        </w:rPr>
        <w:t>heart and lung transplant recipients</w:t>
      </w:r>
      <w:r w:rsidR="00337450" w:rsidRPr="004B5AB4">
        <w:rPr>
          <w:sz w:val="24"/>
          <w:szCs w:val="24"/>
        </w:rPr>
        <w:t xml:space="preserve"> are instructed by their transplant physician to undergo regular dermatological surveillance </w:t>
      </w:r>
      <w:r w:rsidR="00B30BD3">
        <w:rPr>
          <w:sz w:val="24"/>
          <w:szCs w:val="24"/>
        </w:rPr>
        <w:t>by</w:t>
      </w:r>
      <w:r w:rsidR="00337450" w:rsidRPr="004B5AB4">
        <w:rPr>
          <w:sz w:val="24"/>
          <w:szCs w:val="24"/>
        </w:rPr>
        <w:t xml:space="preserve"> a dermatologist</w:t>
      </w:r>
      <w:r w:rsidR="00B30BD3">
        <w:rPr>
          <w:sz w:val="24"/>
          <w:szCs w:val="24"/>
        </w:rPr>
        <w:t xml:space="preserve">, either at </w:t>
      </w:r>
      <w:r w:rsidR="00062375">
        <w:rPr>
          <w:sz w:val="24"/>
          <w:szCs w:val="24"/>
        </w:rPr>
        <w:t xml:space="preserve">the </w:t>
      </w:r>
      <w:r w:rsidR="00337450" w:rsidRPr="004B5AB4">
        <w:rPr>
          <w:sz w:val="24"/>
          <w:szCs w:val="24"/>
        </w:rPr>
        <w:t>Dermatology Outpatient Clinic within the same hospital</w:t>
      </w:r>
      <w:r w:rsidR="00B30BD3">
        <w:rPr>
          <w:sz w:val="24"/>
          <w:szCs w:val="24"/>
        </w:rPr>
        <w:t xml:space="preserve"> or elsew</w:t>
      </w:r>
      <w:r w:rsidR="00DF472D">
        <w:rPr>
          <w:sz w:val="24"/>
          <w:szCs w:val="24"/>
        </w:rPr>
        <w:t xml:space="preserve">here. </w:t>
      </w:r>
      <w:r w:rsidR="00A751E2">
        <w:rPr>
          <w:sz w:val="24"/>
          <w:szCs w:val="24"/>
        </w:rPr>
        <w:t xml:space="preserve"> </w:t>
      </w:r>
      <w:r w:rsidR="00DF472D" w:rsidRPr="008F194F">
        <w:rPr>
          <w:sz w:val="24"/>
          <w:szCs w:val="24"/>
        </w:rPr>
        <w:t xml:space="preserve">Participants </w:t>
      </w:r>
      <w:r w:rsidR="005F5590">
        <w:rPr>
          <w:sz w:val="24"/>
          <w:szCs w:val="24"/>
        </w:rPr>
        <w:t xml:space="preserve">aged 18 years or more </w:t>
      </w:r>
      <w:r w:rsidR="00DF472D" w:rsidRPr="008F194F">
        <w:rPr>
          <w:sz w:val="24"/>
          <w:szCs w:val="24"/>
        </w:rPr>
        <w:t xml:space="preserve">were recruited </w:t>
      </w:r>
      <w:r w:rsidR="00BD5F68" w:rsidRPr="008F194F">
        <w:rPr>
          <w:sz w:val="24"/>
          <w:szCs w:val="24"/>
        </w:rPr>
        <w:t>between March and December 2016</w:t>
      </w:r>
      <w:r w:rsidR="00BD5F68">
        <w:rPr>
          <w:sz w:val="24"/>
          <w:szCs w:val="24"/>
        </w:rPr>
        <w:t xml:space="preserve"> </w:t>
      </w:r>
      <w:r w:rsidR="00DF472D" w:rsidRPr="008F194F">
        <w:rPr>
          <w:sz w:val="24"/>
          <w:szCs w:val="24"/>
        </w:rPr>
        <w:t xml:space="preserve">during routine attendance for outpatient dermatological </w:t>
      </w:r>
      <w:r w:rsidR="00BD5F68">
        <w:rPr>
          <w:sz w:val="24"/>
          <w:szCs w:val="24"/>
        </w:rPr>
        <w:t>follow-up with no specified exclusion criteria.</w:t>
      </w:r>
      <w:r w:rsidR="003C1051">
        <w:rPr>
          <w:sz w:val="24"/>
          <w:szCs w:val="24"/>
        </w:rPr>
        <w:t xml:space="preserve"> Further follow</w:t>
      </w:r>
      <w:r w:rsidR="00062375">
        <w:rPr>
          <w:sz w:val="24"/>
          <w:szCs w:val="24"/>
        </w:rPr>
        <w:t>-</w:t>
      </w:r>
      <w:r w:rsidR="003C1051">
        <w:rPr>
          <w:sz w:val="24"/>
          <w:szCs w:val="24"/>
        </w:rPr>
        <w:t xml:space="preserve">up was </w:t>
      </w:r>
      <w:r w:rsidR="003C1051" w:rsidRPr="008F194F">
        <w:rPr>
          <w:sz w:val="24"/>
          <w:szCs w:val="24"/>
        </w:rPr>
        <w:t>determined by clinical need.</w:t>
      </w:r>
      <w:r w:rsidR="00ED2406">
        <w:rPr>
          <w:sz w:val="24"/>
          <w:szCs w:val="24"/>
        </w:rPr>
        <w:t xml:space="preserve"> </w:t>
      </w:r>
    </w:p>
    <w:p w14:paraId="7D97D01B" w14:textId="1FA1EE01" w:rsidR="005949DC" w:rsidRDefault="002142B8" w:rsidP="00A751E2">
      <w:pPr>
        <w:spacing w:after="0" w:line="480" w:lineRule="auto"/>
        <w:ind w:firstLine="720"/>
        <w:rPr>
          <w:sz w:val="24"/>
          <w:szCs w:val="24"/>
        </w:rPr>
      </w:pPr>
      <w:r w:rsidRPr="008F194F">
        <w:rPr>
          <w:sz w:val="24"/>
          <w:szCs w:val="24"/>
        </w:rPr>
        <w:t xml:space="preserve">Baseline demographic features were obtained from </w:t>
      </w:r>
      <w:r w:rsidR="00062375">
        <w:rPr>
          <w:sz w:val="24"/>
          <w:szCs w:val="24"/>
        </w:rPr>
        <w:t xml:space="preserve">the </w:t>
      </w:r>
      <w:r w:rsidRPr="008F194F">
        <w:rPr>
          <w:sz w:val="24"/>
          <w:szCs w:val="24"/>
        </w:rPr>
        <w:t xml:space="preserve">participants’ medical records. All participants were administered a questionnaire </w:t>
      </w:r>
      <w:r w:rsidR="00ED2406">
        <w:rPr>
          <w:sz w:val="24"/>
          <w:szCs w:val="24"/>
        </w:rPr>
        <w:t>on</w:t>
      </w:r>
      <w:r w:rsidRPr="008F194F">
        <w:rPr>
          <w:sz w:val="24"/>
          <w:szCs w:val="24"/>
        </w:rPr>
        <w:t xml:space="preserve"> risk factors for skin cancer. A history of histologically demonstrated acute cellular rejection was identified from </w:t>
      </w:r>
      <w:r w:rsidR="00062375">
        <w:rPr>
          <w:sz w:val="24"/>
          <w:szCs w:val="24"/>
        </w:rPr>
        <w:t xml:space="preserve">the </w:t>
      </w:r>
      <w:r w:rsidRPr="008F194F">
        <w:rPr>
          <w:sz w:val="24"/>
          <w:szCs w:val="24"/>
        </w:rPr>
        <w:t xml:space="preserve">participants’ medical records. </w:t>
      </w:r>
      <w:r w:rsidR="00746E69" w:rsidRPr="008F194F">
        <w:rPr>
          <w:rFonts w:cs="Arial"/>
          <w:sz w:val="24"/>
          <w:szCs w:val="24"/>
        </w:rPr>
        <w:t xml:space="preserve">The Dermatology Life Quality Index (DLQI) was administered </w:t>
      </w:r>
      <w:r w:rsidR="000C2319" w:rsidRPr="008F194F">
        <w:rPr>
          <w:rFonts w:cs="Arial"/>
          <w:sz w:val="24"/>
          <w:szCs w:val="24"/>
        </w:rPr>
        <w:t xml:space="preserve">to </w:t>
      </w:r>
      <w:r w:rsidR="00746E69" w:rsidRPr="008F194F">
        <w:rPr>
          <w:rFonts w:cs="Arial"/>
          <w:sz w:val="24"/>
          <w:szCs w:val="24"/>
        </w:rPr>
        <w:t xml:space="preserve">determine the impact of skin disease on participants’ </w:t>
      </w:r>
      <w:r w:rsidR="00062375">
        <w:rPr>
          <w:rFonts w:cs="Arial"/>
          <w:sz w:val="24"/>
          <w:szCs w:val="24"/>
        </w:rPr>
        <w:t>quality of life (</w:t>
      </w:r>
      <w:r w:rsidR="0059303E" w:rsidRPr="008F194F">
        <w:rPr>
          <w:rFonts w:cs="Arial"/>
          <w:sz w:val="24"/>
          <w:szCs w:val="24"/>
        </w:rPr>
        <w:t>QOL</w:t>
      </w:r>
      <w:r w:rsidR="00062375">
        <w:rPr>
          <w:rFonts w:cs="Arial"/>
          <w:sz w:val="24"/>
          <w:szCs w:val="24"/>
        </w:rPr>
        <w:t>)</w:t>
      </w:r>
      <w:r w:rsidR="00746E69" w:rsidRPr="008F194F">
        <w:rPr>
          <w:rFonts w:cs="Arial"/>
          <w:sz w:val="24"/>
          <w:szCs w:val="24"/>
        </w:rPr>
        <w:t>.</w:t>
      </w:r>
      <w:r w:rsidR="00746E69" w:rsidRPr="008F194F">
        <w:rPr>
          <w:sz w:val="24"/>
          <w:szCs w:val="24"/>
        </w:rPr>
        <w:t xml:space="preserve"> </w:t>
      </w:r>
    </w:p>
    <w:p w14:paraId="43E96472" w14:textId="0D2B6F70" w:rsidR="002345FA" w:rsidRPr="004B5AB4" w:rsidRDefault="002142B8" w:rsidP="005D72F2">
      <w:pPr>
        <w:spacing w:after="0" w:line="480" w:lineRule="auto"/>
        <w:ind w:firstLine="720"/>
        <w:rPr>
          <w:sz w:val="24"/>
          <w:szCs w:val="24"/>
        </w:rPr>
      </w:pPr>
      <w:r w:rsidRPr="008F194F">
        <w:rPr>
          <w:sz w:val="24"/>
          <w:szCs w:val="24"/>
        </w:rPr>
        <w:t>Full skin examination was performed (excluding anogenital regions unless concern was expressed for this area)</w:t>
      </w:r>
      <w:r w:rsidR="00AB3EAD">
        <w:rPr>
          <w:sz w:val="24"/>
          <w:szCs w:val="24"/>
        </w:rPr>
        <w:t>,</w:t>
      </w:r>
      <w:r w:rsidRPr="008F194F">
        <w:rPr>
          <w:sz w:val="24"/>
          <w:szCs w:val="24"/>
        </w:rPr>
        <w:t xml:space="preserve"> and any diagnosed dermatological diseases were recorded. There were no defined criteria for non-malignant dermatological diagnoses. </w:t>
      </w:r>
      <w:r w:rsidRPr="008F194F">
        <w:rPr>
          <w:rFonts w:cs="Arial"/>
          <w:sz w:val="24"/>
          <w:szCs w:val="24"/>
        </w:rPr>
        <w:t>Diagnoses omitted from data collection due to their relative lack of clinical significance included skin tag, seborrhoeic keratosis, benign naevus, and hidrocystoma</w:t>
      </w:r>
      <w:r w:rsidRPr="008F194F">
        <w:rPr>
          <w:sz w:val="24"/>
          <w:szCs w:val="24"/>
        </w:rPr>
        <w:t>.</w:t>
      </w:r>
      <w:r w:rsidR="003D68EA" w:rsidRPr="008F194F">
        <w:rPr>
          <w:sz w:val="24"/>
          <w:szCs w:val="24"/>
        </w:rPr>
        <w:t xml:space="preserve"> </w:t>
      </w:r>
      <w:r w:rsidR="003D68EA" w:rsidRPr="008F194F">
        <w:rPr>
          <w:rFonts w:cs="Arial"/>
          <w:sz w:val="24"/>
          <w:szCs w:val="24"/>
        </w:rPr>
        <w:t xml:space="preserve">Classification of skin diseases was adapted from the system utilised by </w:t>
      </w:r>
      <w:proofErr w:type="spellStart"/>
      <w:r w:rsidR="003D68EA" w:rsidRPr="00806457">
        <w:rPr>
          <w:rFonts w:cs="Arial"/>
          <w:sz w:val="24"/>
          <w:szCs w:val="24"/>
        </w:rPr>
        <w:t>Wisgerhof</w:t>
      </w:r>
      <w:proofErr w:type="spellEnd"/>
      <w:r w:rsidR="003D68EA" w:rsidRPr="00806457">
        <w:rPr>
          <w:rFonts w:cs="Arial"/>
          <w:sz w:val="24"/>
          <w:szCs w:val="24"/>
        </w:rPr>
        <w:t xml:space="preserve"> </w:t>
      </w:r>
      <w:r w:rsidR="003D68EA" w:rsidRPr="00806457">
        <w:rPr>
          <w:rFonts w:cs="Arial"/>
          <w:iCs/>
          <w:sz w:val="24"/>
          <w:szCs w:val="24"/>
        </w:rPr>
        <w:t>et al.</w:t>
      </w:r>
      <w:r w:rsidR="007B79E0" w:rsidRPr="00806457">
        <w:rPr>
          <w:rFonts w:cs="Arial"/>
          <w:sz w:val="24"/>
          <w:szCs w:val="24"/>
        </w:rPr>
        <w:t xml:space="preserve"> </w:t>
      </w:r>
      <w:r w:rsidR="00325E4E" w:rsidRPr="00806457">
        <w:rPr>
          <w:rFonts w:cs="Arial"/>
          <w:sz w:val="24"/>
          <w:szCs w:val="24"/>
        </w:rPr>
        <w:t>[</w:t>
      </w:r>
      <w:r w:rsidR="00806457">
        <w:rPr>
          <w:rFonts w:cs="Arial"/>
          <w:sz w:val="24"/>
          <w:szCs w:val="24"/>
        </w:rPr>
        <w:t>1</w:t>
      </w:r>
      <w:r w:rsidR="00325E4E" w:rsidRPr="00806457">
        <w:rPr>
          <w:rFonts w:cs="Arial"/>
          <w:sz w:val="24"/>
          <w:szCs w:val="24"/>
        </w:rPr>
        <w:t xml:space="preserve">], </w:t>
      </w:r>
      <w:r w:rsidR="007B79E0" w:rsidRPr="00806457">
        <w:rPr>
          <w:rFonts w:cs="Arial"/>
          <w:sz w:val="24"/>
          <w:szCs w:val="24"/>
        </w:rPr>
        <w:t>201</w:t>
      </w:r>
      <w:r w:rsidR="00FD6D36">
        <w:rPr>
          <w:rFonts w:cs="Arial"/>
          <w:sz w:val="24"/>
          <w:szCs w:val="24"/>
        </w:rPr>
        <w:t>0</w:t>
      </w:r>
      <w:r w:rsidR="003D68EA" w:rsidRPr="008F194F">
        <w:rPr>
          <w:rFonts w:cs="Arial"/>
          <w:sz w:val="24"/>
          <w:szCs w:val="24"/>
        </w:rPr>
        <w:t>.</w:t>
      </w:r>
    </w:p>
    <w:p w14:paraId="6BBF4161" w14:textId="10C5FB92" w:rsidR="00307E05" w:rsidRPr="008F194F" w:rsidRDefault="002142B8" w:rsidP="005D72F2">
      <w:pPr>
        <w:spacing w:after="0" w:line="480" w:lineRule="auto"/>
        <w:ind w:firstLine="720"/>
        <w:rPr>
          <w:sz w:val="24"/>
          <w:szCs w:val="24"/>
        </w:rPr>
      </w:pPr>
      <w:r w:rsidRPr="008F194F">
        <w:rPr>
          <w:sz w:val="24"/>
          <w:szCs w:val="24"/>
        </w:rPr>
        <w:t xml:space="preserve">For pre-malignant and malignant skin lesions, </w:t>
      </w:r>
      <w:r w:rsidR="00E4681C">
        <w:rPr>
          <w:sz w:val="24"/>
          <w:szCs w:val="24"/>
        </w:rPr>
        <w:t xml:space="preserve">a </w:t>
      </w:r>
      <w:r w:rsidRPr="008F194F">
        <w:rPr>
          <w:sz w:val="24"/>
          <w:szCs w:val="24"/>
        </w:rPr>
        <w:t>clinical diagnos</w:t>
      </w:r>
      <w:r w:rsidR="00E4681C">
        <w:rPr>
          <w:sz w:val="24"/>
          <w:szCs w:val="24"/>
        </w:rPr>
        <w:t>i</w:t>
      </w:r>
      <w:r w:rsidRPr="008F194F">
        <w:rPr>
          <w:sz w:val="24"/>
          <w:szCs w:val="24"/>
        </w:rPr>
        <w:t xml:space="preserve">s of actinic keratosis, superficial basal cell carcinoma (BCC) and Bowen’s disease were </w:t>
      </w:r>
      <w:r w:rsidR="00E4681C">
        <w:rPr>
          <w:sz w:val="24"/>
          <w:szCs w:val="24"/>
        </w:rPr>
        <w:t>accepted, although</w:t>
      </w:r>
      <w:r w:rsidR="00BD5D59">
        <w:rPr>
          <w:sz w:val="24"/>
          <w:szCs w:val="24"/>
        </w:rPr>
        <w:t xml:space="preserve"> most </w:t>
      </w:r>
      <w:r w:rsidR="002345FA" w:rsidRPr="008F194F">
        <w:rPr>
          <w:sz w:val="24"/>
          <w:szCs w:val="24"/>
        </w:rPr>
        <w:t>skin cancers w</w:t>
      </w:r>
      <w:r w:rsidR="00BD5D59">
        <w:rPr>
          <w:sz w:val="24"/>
          <w:szCs w:val="24"/>
        </w:rPr>
        <w:t xml:space="preserve">ere </w:t>
      </w:r>
      <w:r w:rsidR="002345FA" w:rsidRPr="008F194F">
        <w:rPr>
          <w:sz w:val="24"/>
          <w:szCs w:val="24"/>
        </w:rPr>
        <w:t>confirmed</w:t>
      </w:r>
      <w:r w:rsidRPr="008F194F">
        <w:rPr>
          <w:sz w:val="24"/>
          <w:szCs w:val="24"/>
        </w:rPr>
        <w:t xml:space="preserve"> histo</w:t>
      </w:r>
      <w:r w:rsidR="00EB1018" w:rsidRPr="008F194F">
        <w:rPr>
          <w:sz w:val="24"/>
          <w:szCs w:val="24"/>
        </w:rPr>
        <w:t>logical</w:t>
      </w:r>
      <w:r w:rsidR="002345FA" w:rsidRPr="008F194F">
        <w:rPr>
          <w:sz w:val="24"/>
          <w:szCs w:val="24"/>
        </w:rPr>
        <w:t>ly</w:t>
      </w:r>
      <w:r w:rsidRPr="008F194F">
        <w:rPr>
          <w:sz w:val="24"/>
          <w:szCs w:val="24"/>
        </w:rPr>
        <w:t xml:space="preserve">. </w:t>
      </w:r>
      <w:r w:rsidR="002345FA" w:rsidRPr="008F194F">
        <w:rPr>
          <w:sz w:val="24"/>
          <w:szCs w:val="24"/>
        </w:rPr>
        <w:t>Skin cancer subtypes</w:t>
      </w:r>
      <w:r w:rsidRPr="008F194F">
        <w:rPr>
          <w:sz w:val="24"/>
          <w:szCs w:val="24"/>
        </w:rPr>
        <w:t xml:space="preserve"> and the presence of perineural or lymphovascula</w:t>
      </w:r>
      <w:r w:rsidR="00527D78" w:rsidRPr="008F194F">
        <w:rPr>
          <w:sz w:val="24"/>
          <w:szCs w:val="24"/>
        </w:rPr>
        <w:t xml:space="preserve">r invasion </w:t>
      </w:r>
      <w:r w:rsidR="002345FA" w:rsidRPr="008F194F">
        <w:rPr>
          <w:sz w:val="24"/>
          <w:szCs w:val="24"/>
        </w:rPr>
        <w:t>were identified from histological reports</w:t>
      </w:r>
      <w:r w:rsidRPr="008F194F">
        <w:rPr>
          <w:sz w:val="24"/>
          <w:szCs w:val="24"/>
        </w:rPr>
        <w:t xml:space="preserve">. </w:t>
      </w:r>
      <w:r w:rsidR="00325E4E">
        <w:rPr>
          <w:sz w:val="24"/>
          <w:szCs w:val="24"/>
        </w:rPr>
        <w:t>BCCs</w:t>
      </w:r>
      <w:r w:rsidRPr="008F194F">
        <w:rPr>
          <w:sz w:val="24"/>
          <w:szCs w:val="24"/>
        </w:rPr>
        <w:t xml:space="preserve"> were </w:t>
      </w:r>
      <w:r w:rsidRPr="008F194F">
        <w:rPr>
          <w:sz w:val="24"/>
          <w:szCs w:val="24"/>
        </w:rPr>
        <w:lastRenderedPageBreak/>
        <w:t>classified in order from least to most aggressive, as superficial, nodular,</w:t>
      </w:r>
      <w:r w:rsidR="00527D78" w:rsidRPr="008F194F">
        <w:rPr>
          <w:sz w:val="24"/>
          <w:szCs w:val="24"/>
        </w:rPr>
        <w:t xml:space="preserve"> micronodular, or infiltrative, and mixed BCCs </w:t>
      </w:r>
      <w:r w:rsidR="001A2117" w:rsidRPr="008F194F">
        <w:rPr>
          <w:sz w:val="24"/>
          <w:szCs w:val="24"/>
        </w:rPr>
        <w:t xml:space="preserve">were </w:t>
      </w:r>
      <w:r w:rsidR="00527D78" w:rsidRPr="008F194F">
        <w:rPr>
          <w:sz w:val="24"/>
          <w:szCs w:val="24"/>
        </w:rPr>
        <w:t>classified according to</w:t>
      </w:r>
      <w:r w:rsidR="00777314" w:rsidRPr="008F194F">
        <w:rPr>
          <w:sz w:val="24"/>
          <w:szCs w:val="24"/>
        </w:rPr>
        <w:t xml:space="preserve"> the most aggressive subtype. Vital status for all participants at completion of the study period was determined from the hospital transpl</w:t>
      </w:r>
      <w:r w:rsidR="00307E05" w:rsidRPr="008F194F">
        <w:rPr>
          <w:sz w:val="24"/>
          <w:szCs w:val="24"/>
        </w:rPr>
        <w:t>ant database.</w:t>
      </w:r>
    </w:p>
    <w:p w14:paraId="233C0985" w14:textId="5A06D578" w:rsidR="00FC126F" w:rsidRPr="008F194F" w:rsidRDefault="00FC126F" w:rsidP="005D72F2">
      <w:pPr>
        <w:spacing w:after="0" w:line="480" w:lineRule="auto"/>
        <w:ind w:firstLine="720"/>
        <w:rPr>
          <w:sz w:val="24"/>
          <w:szCs w:val="24"/>
        </w:rPr>
      </w:pPr>
      <w:r w:rsidRPr="008F194F">
        <w:rPr>
          <w:rFonts w:cstheme="minorHAnsi"/>
          <w:sz w:val="24"/>
          <w:szCs w:val="24"/>
        </w:rPr>
        <w:t>The overall DLQI scores were separated into the following five ordinal categories as the response variabl</w:t>
      </w:r>
      <w:r w:rsidR="007B79E0" w:rsidRPr="008F194F">
        <w:rPr>
          <w:rFonts w:cstheme="minorHAnsi"/>
          <w:sz w:val="24"/>
          <w:szCs w:val="24"/>
        </w:rPr>
        <w:t>e for analysis: no effect (DLQI</w:t>
      </w:r>
      <w:r w:rsidR="00325E4E">
        <w:rPr>
          <w:rFonts w:cstheme="minorHAnsi"/>
          <w:sz w:val="24"/>
          <w:szCs w:val="24"/>
        </w:rPr>
        <w:t xml:space="preserve"> </w:t>
      </w:r>
      <w:r w:rsidR="007B79E0" w:rsidRPr="008F194F">
        <w:rPr>
          <w:rFonts w:cstheme="minorHAnsi"/>
          <w:sz w:val="24"/>
          <w:szCs w:val="24"/>
        </w:rPr>
        <w:t>=</w:t>
      </w:r>
      <w:r w:rsidR="00325E4E">
        <w:rPr>
          <w:rFonts w:cstheme="minorHAnsi"/>
          <w:sz w:val="24"/>
          <w:szCs w:val="24"/>
        </w:rPr>
        <w:t xml:space="preserve"> </w:t>
      </w:r>
      <w:r w:rsidR="007B79E0" w:rsidRPr="008F194F">
        <w:rPr>
          <w:rFonts w:cstheme="minorHAnsi"/>
          <w:sz w:val="24"/>
          <w:szCs w:val="24"/>
        </w:rPr>
        <w:t>0</w:t>
      </w:r>
      <w:r w:rsidR="00325E4E">
        <w:rPr>
          <w:rFonts w:cstheme="minorHAnsi"/>
          <w:sz w:val="24"/>
          <w:szCs w:val="24"/>
        </w:rPr>
        <w:t>–</w:t>
      </w:r>
      <w:r w:rsidR="007B79E0" w:rsidRPr="008F194F">
        <w:rPr>
          <w:rFonts w:cstheme="minorHAnsi"/>
          <w:sz w:val="24"/>
          <w:szCs w:val="24"/>
        </w:rPr>
        <w:t>1), small effect (DLQI</w:t>
      </w:r>
      <w:r w:rsidR="00325E4E">
        <w:rPr>
          <w:rFonts w:cstheme="minorHAnsi"/>
          <w:sz w:val="24"/>
          <w:szCs w:val="24"/>
        </w:rPr>
        <w:t xml:space="preserve"> </w:t>
      </w:r>
      <w:r w:rsidR="007B79E0" w:rsidRPr="008F194F">
        <w:rPr>
          <w:rFonts w:cstheme="minorHAnsi"/>
          <w:sz w:val="24"/>
          <w:szCs w:val="24"/>
        </w:rPr>
        <w:t>=</w:t>
      </w:r>
      <w:r w:rsidR="00325E4E">
        <w:rPr>
          <w:rFonts w:cstheme="minorHAnsi"/>
          <w:sz w:val="24"/>
          <w:szCs w:val="24"/>
        </w:rPr>
        <w:t xml:space="preserve"> </w:t>
      </w:r>
      <w:r w:rsidR="007B79E0" w:rsidRPr="008F194F">
        <w:rPr>
          <w:rFonts w:cstheme="minorHAnsi"/>
          <w:sz w:val="24"/>
          <w:szCs w:val="24"/>
        </w:rPr>
        <w:t>2</w:t>
      </w:r>
      <w:r w:rsidR="00325E4E">
        <w:rPr>
          <w:rFonts w:cstheme="minorHAnsi"/>
          <w:sz w:val="24"/>
          <w:szCs w:val="24"/>
        </w:rPr>
        <w:t>–</w:t>
      </w:r>
      <w:r w:rsidR="007B79E0" w:rsidRPr="008F194F">
        <w:rPr>
          <w:rFonts w:cstheme="minorHAnsi"/>
          <w:sz w:val="24"/>
          <w:szCs w:val="24"/>
        </w:rPr>
        <w:t>5), moderate effect (DLQI</w:t>
      </w:r>
      <w:r w:rsidR="00325E4E">
        <w:rPr>
          <w:rFonts w:cstheme="minorHAnsi"/>
          <w:sz w:val="24"/>
          <w:szCs w:val="24"/>
        </w:rPr>
        <w:t xml:space="preserve"> </w:t>
      </w:r>
      <w:r w:rsidR="007B79E0" w:rsidRPr="008F194F">
        <w:rPr>
          <w:rFonts w:cstheme="minorHAnsi"/>
          <w:sz w:val="24"/>
          <w:szCs w:val="24"/>
        </w:rPr>
        <w:t>=</w:t>
      </w:r>
      <w:r w:rsidR="00325E4E">
        <w:rPr>
          <w:rFonts w:cstheme="minorHAnsi"/>
          <w:sz w:val="24"/>
          <w:szCs w:val="24"/>
        </w:rPr>
        <w:t xml:space="preserve"> </w:t>
      </w:r>
      <w:r w:rsidRPr="008F194F">
        <w:rPr>
          <w:rFonts w:cstheme="minorHAnsi"/>
          <w:sz w:val="24"/>
          <w:szCs w:val="24"/>
        </w:rPr>
        <w:t>6</w:t>
      </w:r>
      <w:r w:rsidR="00325E4E">
        <w:rPr>
          <w:rFonts w:cstheme="minorHAnsi"/>
          <w:sz w:val="24"/>
          <w:szCs w:val="24"/>
        </w:rPr>
        <w:t>–</w:t>
      </w:r>
      <w:r w:rsidRPr="008F194F">
        <w:rPr>
          <w:rFonts w:cstheme="minorHAnsi"/>
          <w:sz w:val="24"/>
          <w:szCs w:val="24"/>
        </w:rPr>
        <w:t xml:space="preserve">10), very </w:t>
      </w:r>
      <w:r w:rsidR="007B79E0" w:rsidRPr="008F194F">
        <w:rPr>
          <w:rFonts w:cstheme="minorHAnsi"/>
          <w:sz w:val="24"/>
          <w:szCs w:val="24"/>
        </w:rPr>
        <w:t>large effect (DLQI</w:t>
      </w:r>
      <w:r w:rsidR="00325E4E">
        <w:rPr>
          <w:rFonts w:cstheme="minorHAnsi"/>
          <w:sz w:val="24"/>
          <w:szCs w:val="24"/>
        </w:rPr>
        <w:t xml:space="preserve"> </w:t>
      </w:r>
      <w:r w:rsidR="007B79E0" w:rsidRPr="008F194F">
        <w:rPr>
          <w:rFonts w:cstheme="minorHAnsi"/>
          <w:sz w:val="24"/>
          <w:szCs w:val="24"/>
        </w:rPr>
        <w:t>=</w:t>
      </w:r>
      <w:r w:rsidR="00325E4E">
        <w:rPr>
          <w:rFonts w:cstheme="minorHAnsi"/>
          <w:sz w:val="24"/>
          <w:szCs w:val="24"/>
        </w:rPr>
        <w:t xml:space="preserve"> </w:t>
      </w:r>
      <w:r w:rsidRPr="008F194F">
        <w:rPr>
          <w:rFonts w:cstheme="minorHAnsi"/>
          <w:sz w:val="24"/>
          <w:szCs w:val="24"/>
        </w:rPr>
        <w:t>11</w:t>
      </w:r>
      <w:r w:rsidR="00325E4E">
        <w:rPr>
          <w:rFonts w:cstheme="minorHAnsi"/>
          <w:sz w:val="24"/>
          <w:szCs w:val="24"/>
        </w:rPr>
        <w:t>–</w:t>
      </w:r>
      <w:r w:rsidRPr="008F194F">
        <w:rPr>
          <w:rFonts w:cstheme="minorHAnsi"/>
          <w:sz w:val="24"/>
          <w:szCs w:val="24"/>
        </w:rPr>
        <w:t>20), or extremely</w:t>
      </w:r>
      <w:r w:rsidR="007B79E0" w:rsidRPr="008F194F">
        <w:rPr>
          <w:rFonts w:cstheme="minorHAnsi"/>
          <w:sz w:val="24"/>
          <w:szCs w:val="24"/>
        </w:rPr>
        <w:t xml:space="preserve"> large effect (DLQI</w:t>
      </w:r>
      <w:r w:rsidR="00325E4E">
        <w:rPr>
          <w:rFonts w:cstheme="minorHAnsi"/>
          <w:sz w:val="24"/>
          <w:szCs w:val="24"/>
        </w:rPr>
        <w:t xml:space="preserve"> </w:t>
      </w:r>
      <w:r w:rsidR="007B79E0" w:rsidRPr="008F194F">
        <w:rPr>
          <w:rFonts w:cstheme="minorHAnsi"/>
          <w:sz w:val="24"/>
          <w:szCs w:val="24"/>
        </w:rPr>
        <w:t>=</w:t>
      </w:r>
      <w:r w:rsidR="00325E4E">
        <w:rPr>
          <w:rFonts w:cstheme="minorHAnsi"/>
          <w:sz w:val="24"/>
          <w:szCs w:val="24"/>
        </w:rPr>
        <w:t xml:space="preserve"> </w:t>
      </w:r>
      <w:r w:rsidRPr="008F194F">
        <w:rPr>
          <w:rFonts w:cstheme="minorHAnsi"/>
          <w:sz w:val="24"/>
          <w:szCs w:val="24"/>
        </w:rPr>
        <w:t>21</w:t>
      </w:r>
      <w:r w:rsidR="00325E4E">
        <w:rPr>
          <w:rFonts w:cstheme="minorHAnsi"/>
          <w:sz w:val="24"/>
          <w:szCs w:val="24"/>
        </w:rPr>
        <w:t>–</w:t>
      </w:r>
      <w:r w:rsidRPr="008F194F">
        <w:rPr>
          <w:rFonts w:cstheme="minorHAnsi"/>
          <w:sz w:val="24"/>
          <w:szCs w:val="24"/>
        </w:rPr>
        <w:t>30) on QOL</w:t>
      </w:r>
      <w:r w:rsidR="00806457">
        <w:rPr>
          <w:rFonts w:cstheme="minorHAnsi"/>
          <w:sz w:val="24"/>
          <w:szCs w:val="24"/>
        </w:rPr>
        <w:t xml:space="preserve"> [2]</w:t>
      </w:r>
      <w:r w:rsidRPr="008F194F">
        <w:rPr>
          <w:rFonts w:cstheme="minorHAnsi"/>
          <w:sz w:val="24"/>
          <w:szCs w:val="24"/>
        </w:rPr>
        <w:t>.</w:t>
      </w:r>
      <w:r w:rsidRPr="008F194F">
        <w:rPr>
          <w:sz w:val="24"/>
          <w:szCs w:val="24"/>
        </w:rPr>
        <w:t xml:space="preserve"> </w:t>
      </w:r>
    </w:p>
    <w:p w14:paraId="05A15074" w14:textId="20DFDC9A" w:rsidR="003851E5" w:rsidRPr="00A27D7E" w:rsidRDefault="001A2117" w:rsidP="00325E4E">
      <w:pPr>
        <w:spacing w:after="0" w:line="480" w:lineRule="auto"/>
        <w:ind w:firstLine="720"/>
        <w:rPr>
          <w:noProof/>
          <w:sz w:val="24"/>
          <w:szCs w:val="24"/>
          <w:vertAlign w:val="superscript"/>
        </w:rPr>
      </w:pPr>
      <w:r w:rsidRPr="008F194F">
        <w:rPr>
          <w:sz w:val="24"/>
          <w:szCs w:val="24"/>
        </w:rPr>
        <w:t xml:space="preserve">Only the first study visit was considered in </w:t>
      </w:r>
      <w:r w:rsidR="00325E4E">
        <w:rPr>
          <w:sz w:val="24"/>
          <w:szCs w:val="24"/>
        </w:rPr>
        <w:t xml:space="preserve">the </w:t>
      </w:r>
      <w:r w:rsidRPr="008F194F">
        <w:rPr>
          <w:sz w:val="24"/>
          <w:szCs w:val="24"/>
        </w:rPr>
        <w:t xml:space="preserve">analysis of risk factors for skin cancer. The outcome of interest was the presence of skin </w:t>
      </w:r>
      <w:r w:rsidR="00AB1573" w:rsidRPr="008F194F">
        <w:rPr>
          <w:sz w:val="24"/>
          <w:szCs w:val="24"/>
        </w:rPr>
        <w:t>cancer as a binary variable</w:t>
      </w:r>
      <w:r w:rsidRPr="008F194F">
        <w:rPr>
          <w:sz w:val="24"/>
          <w:szCs w:val="24"/>
        </w:rPr>
        <w:t xml:space="preserve">. Skin cancer includes Bowen’s disease, </w:t>
      </w:r>
      <w:r w:rsidR="007B79E0" w:rsidRPr="008F194F">
        <w:rPr>
          <w:sz w:val="24"/>
          <w:szCs w:val="24"/>
        </w:rPr>
        <w:t>squamous cell carcinoma</w:t>
      </w:r>
      <w:r w:rsidRPr="008F194F">
        <w:rPr>
          <w:sz w:val="24"/>
          <w:szCs w:val="24"/>
        </w:rPr>
        <w:t xml:space="preserve">, BCC, or any other malignant skin lesion. Variables studied </w:t>
      </w:r>
      <w:r w:rsidR="00777314" w:rsidRPr="008F194F">
        <w:rPr>
          <w:sz w:val="24"/>
          <w:szCs w:val="24"/>
        </w:rPr>
        <w:t>as</w:t>
      </w:r>
      <w:r w:rsidRPr="008F194F">
        <w:rPr>
          <w:sz w:val="24"/>
          <w:szCs w:val="24"/>
        </w:rPr>
        <w:t xml:space="preserve"> predictors of skin cancer included gender, transplanted organ, age at time of transplantation,</w:t>
      </w:r>
      <w:r w:rsidR="000D3C35" w:rsidRPr="008F194F">
        <w:rPr>
          <w:sz w:val="24"/>
          <w:szCs w:val="24"/>
        </w:rPr>
        <w:t xml:space="preserve"> time since transplant</w:t>
      </w:r>
      <w:r w:rsidR="003D524C">
        <w:rPr>
          <w:sz w:val="24"/>
          <w:szCs w:val="24"/>
        </w:rPr>
        <w:t>ation</w:t>
      </w:r>
      <w:r w:rsidR="000D3C35" w:rsidRPr="008F194F">
        <w:rPr>
          <w:sz w:val="24"/>
          <w:szCs w:val="24"/>
        </w:rPr>
        <w:t>,</w:t>
      </w:r>
      <w:r w:rsidRPr="008F194F">
        <w:rPr>
          <w:sz w:val="24"/>
          <w:szCs w:val="24"/>
        </w:rPr>
        <w:t xml:space="preserve"> skin phenotype grouped into Fitzpatrick skin types 1</w:t>
      </w:r>
      <w:r w:rsidR="00325E4E">
        <w:rPr>
          <w:sz w:val="24"/>
          <w:szCs w:val="24"/>
        </w:rPr>
        <w:t>–</w:t>
      </w:r>
      <w:r w:rsidRPr="008F194F">
        <w:rPr>
          <w:sz w:val="24"/>
          <w:szCs w:val="24"/>
        </w:rPr>
        <w:t>2 and 3</w:t>
      </w:r>
      <w:r w:rsidR="00325E4E">
        <w:rPr>
          <w:sz w:val="24"/>
          <w:szCs w:val="24"/>
        </w:rPr>
        <w:t>–</w:t>
      </w:r>
      <w:r w:rsidRPr="008F194F">
        <w:rPr>
          <w:sz w:val="24"/>
          <w:szCs w:val="24"/>
        </w:rPr>
        <w:t>6</w:t>
      </w:r>
      <w:r w:rsidR="00806457">
        <w:rPr>
          <w:sz w:val="24"/>
          <w:szCs w:val="24"/>
        </w:rPr>
        <w:t xml:space="preserve"> [3]</w:t>
      </w:r>
      <w:r w:rsidRPr="008F194F">
        <w:rPr>
          <w:sz w:val="24"/>
          <w:szCs w:val="24"/>
        </w:rPr>
        <w:t>, degree of lifetime ultraviolet radiation exposure represented as a sun score</w:t>
      </w:r>
      <w:r w:rsidR="003D524C">
        <w:rPr>
          <w:sz w:val="24"/>
          <w:szCs w:val="24"/>
        </w:rPr>
        <w:t xml:space="preserve"> (based on </w:t>
      </w:r>
      <w:r w:rsidR="000C3203">
        <w:rPr>
          <w:sz w:val="24"/>
          <w:szCs w:val="24"/>
        </w:rPr>
        <w:t xml:space="preserve">several factors), </w:t>
      </w:r>
      <w:r w:rsidRPr="008F194F">
        <w:rPr>
          <w:sz w:val="24"/>
          <w:szCs w:val="24"/>
        </w:rPr>
        <w:t>history of allograft rejection defined as International Society for Heart a</w:t>
      </w:r>
      <w:r w:rsidR="00307E05" w:rsidRPr="008F194F">
        <w:rPr>
          <w:sz w:val="24"/>
          <w:szCs w:val="24"/>
        </w:rPr>
        <w:t xml:space="preserve">nd Lung Transplantation </w:t>
      </w:r>
      <w:r w:rsidRPr="008F194F">
        <w:rPr>
          <w:sz w:val="24"/>
          <w:szCs w:val="24"/>
        </w:rPr>
        <w:t>Grade A2 or greater for lung transplant recipients and Grade 2R or greater for heart transplant recipients</w:t>
      </w:r>
      <w:r w:rsidR="00806457">
        <w:rPr>
          <w:sz w:val="24"/>
          <w:szCs w:val="24"/>
        </w:rPr>
        <w:t xml:space="preserve"> [4, 5]</w:t>
      </w:r>
      <w:r w:rsidRPr="008F194F">
        <w:rPr>
          <w:sz w:val="24"/>
          <w:szCs w:val="24"/>
        </w:rPr>
        <w:t>, history of smoking,</w:t>
      </w:r>
      <w:r w:rsidR="000D3C35" w:rsidRPr="008F194F">
        <w:rPr>
          <w:sz w:val="24"/>
          <w:szCs w:val="24"/>
        </w:rPr>
        <w:t xml:space="preserve"> history of </w:t>
      </w:r>
      <w:r w:rsidR="007B79E0" w:rsidRPr="008F194F">
        <w:rPr>
          <w:rFonts w:cstheme="minorHAnsi"/>
          <w:sz w:val="24"/>
          <w:szCs w:val="24"/>
        </w:rPr>
        <w:t>≥</w:t>
      </w:r>
      <w:r w:rsidR="000D3C35" w:rsidRPr="008F194F">
        <w:rPr>
          <w:sz w:val="24"/>
          <w:szCs w:val="24"/>
        </w:rPr>
        <w:t xml:space="preserve">5 </w:t>
      </w:r>
      <w:r w:rsidR="00D44C52" w:rsidRPr="008F194F">
        <w:rPr>
          <w:sz w:val="24"/>
          <w:szCs w:val="24"/>
        </w:rPr>
        <w:t>post-transplant</w:t>
      </w:r>
      <w:r w:rsidR="00307E05" w:rsidRPr="008F194F">
        <w:rPr>
          <w:sz w:val="24"/>
          <w:szCs w:val="24"/>
        </w:rPr>
        <w:t xml:space="preserve"> </w:t>
      </w:r>
      <w:r w:rsidR="000D3C35" w:rsidRPr="008F194F">
        <w:rPr>
          <w:sz w:val="24"/>
          <w:szCs w:val="24"/>
        </w:rPr>
        <w:t>skin cancers, history of skin cancer prior to transplant</w:t>
      </w:r>
      <w:r w:rsidR="000C3203">
        <w:rPr>
          <w:sz w:val="24"/>
          <w:szCs w:val="24"/>
        </w:rPr>
        <w:t>ation</w:t>
      </w:r>
      <w:r w:rsidR="000D3C35" w:rsidRPr="008F194F">
        <w:rPr>
          <w:sz w:val="24"/>
          <w:szCs w:val="24"/>
        </w:rPr>
        <w:t xml:space="preserve">, history of voriconazole use for </w:t>
      </w:r>
      <w:r w:rsidR="007B79E0" w:rsidRPr="008F194F">
        <w:rPr>
          <w:rFonts w:cstheme="minorHAnsi"/>
          <w:sz w:val="24"/>
          <w:szCs w:val="24"/>
        </w:rPr>
        <w:t>≥</w:t>
      </w:r>
      <w:r w:rsidR="000D3C35" w:rsidRPr="008F194F">
        <w:rPr>
          <w:rFonts w:cstheme="minorHAnsi"/>
          <w:sz w:val="24"/>
          <w:szCs w:val="24"/>
        </w:rPr>
        <w:t>3 months, current acitretin use, previous arsenic exposure, other solid organ transplant</w:t>
      </w:r>
      <w:r w:rsidR="000C3203">
        <w:rPr>
          <w:rFonts w:cstheme="minorHAnsi"/>
          <w:sz w:val="24"/>
          <w:szCs w:val="24"/>
        </w:rPr>
        <w:t>s</w:t>
      </w:r>
      <w:r w:rsidR="000D3C35" w:rsidRPr="008F194F">
        <w:rPr>
          <w:rFonts w:cstheme="minorHAnsi"/>
          <w:sz w:val="24"/>
          <w:szCs w:val="24"/>
        </w:rPr>
        <w:t xml:space="preserve">, history of azathioprine use, and current </w:t>
      </w:r>
      <w:r w:rsidR="009C75A5">
        <w:rPr>
          <w:rFonts w:cstheme="minorHAnsi"/>
          <w:sz w:val="24"/>
          <w:szCs w:val="24"/>
        </w:rPr>
        <w:t xml:space="preserve">use of </w:t>
      </w:r>
      <w:r w:rsidR="000D3C35" w:rsidRPr="008F194F">
        <w:rPr>
          <w:rFonts w:cstheme="minorHAnsi"/>
          <w:sz w:val="24"/>
          <w:szCs w:val="24"/>
        </w:rPr>
        <w:t>mTOR inhibitor, azathioprine, cyclosporine</w:t>
      </w:r>
      <w:r w:rsidR="00325E4E">
        <w:rPr>
          <w:rFonts w:cstheme="minorHAnsi"/>
          <w:sz w:val="24"/>
          <w:szCs w:val="24"/>
        </w:rPr>
        <w:t>,</w:t>
      </w:r>
      <w:r w:rsidR="000D3C35" w:rsidRPr="008F194F">
        <w:rPr>
          <w:rFonts w:cstheme="minorHAnsi"/>
          <w:sz w:val="24"/>
          <w:szCs w:val="24"/>
        </w:rPr>
        <w:t xml:space="preserve"> or tacrolimus.</w:t>
      </w:r>
      <w:r w:rsidR="00FC126F" w:rsidRPr="008F194F">
        <w:rPr>
          <w:rFonts w:cstheme="minorHAnsi"/>
          <w:sz w:val="24"/>
          <w:szCs w:val="24"/>
        </w:rPr>
        <w:t xml:space="preserve"> </w:t>
      </w:r>
      <w:r w:rsidR="00FC126F" w:rsidRPr="008F194F">
        <w:rPr>
          <w:rFonts w:cs="Arial"/>
          <w:sz w:val="24"/>
          <w:szCs w:val="24"/>
        </w:rPr>
        <w:t>Univariate logistic regression linking each of these predictors to the response variable was first conducted to examine the relationship between specific variables and skin cancer</w:t>
      </w:r>
      <w:r w:rsidR="007B79E0" w:rsidRPr="008F194F">
        <w:rPr>
          <w:rFonts w:cs="Arial"/>
          <w:sz w:val="24"/>
          <w:szCs w:val="24"/>
        </w:rPr>
        <w:t xml:space="preserve">. </w:t>
      </w:r>
      <w:r w:rsidRPr="008F194F">
        <w:rPr>
          <w:sz w:val="24"/>
          <w:szCs w:val="24"/>
        </w:rPr>
        <w:t xml:space="preserve">Results are reported with odds ratios and their associated 95% confidence intervals. Statistical analyses were conducted at </w:t>
      </w:r>
      <w:r w:rsidRPr="008F194F">
        <w:rPr>
          <w:sz w:val="24"/>
          <w:szCs w:val="24"/>
        </w:rPr>
        <w:lastRenderedPageBreak/>
        <w:t>a 2-sided significance level of 0.05. Statisti</w:t>
      </w:r>
      <w:r w:rsidR="002345FA" w:rsidRPr="008F194F">
        <w:rPr>
          <w:sz w:val="24"/>
          <w:szCs w:val="24"/>
        </w:rPr>
        <w:t>cally significant predictors (</w:t>
      </w:r>
      <w:r w:rsidR="00325E4E" w:rsidRPr="00325E4E">
        <w:rPr>
          <w:i/>
          <w:iCs/>
          <w:sz w:val="24"/>
          <w:szCs w:val="24"/>
        </w:rPr>
        <w:t>p</w:t>
      </w:r>
      <w:r w:rsidR="00325E4E">
        <w:rPr>
          <w:sz w:val="24"/>
          <w:szCs w:val="24"/>
        </w:rPr>
        <w:t xml:space="preserve"> </w:t>
      </w:r>
      <w:r w:rsidR="002345FA" w:rsidRPr="008F194F">
        <w:rPr>
          <w:sz w:val="24"/>
          <w:szCs w:val="24"/>
        </w:rPr>
        <w:t>&lt;</w:t>
      </w:r>
      <w:r w:rsidR="00325E4E">
        <w:rPr>
          <w:sz w:val="24"/>
          <w:szCs w:val="24"/>
        </w:rPr>
        <w:t xml:space="preserve"> </w:t>
      </w:r>
      <w:r w:rsidRPr="008F194F">
        <w:rPr>
          <w:sz w:val="24"/>
          <w:szCs w:val="24"/>
        </w:rPr>
        <w:t xml:space="preserve">0.05) and those predictors with a </w:t>
      </w:r>
      <w:r w:rsidR="00325E4E" w:rsidRPr="00325E4E">
        <w:rPr>
          <w:i/>
          <w:iCs/>
          <w:sz w:val="24"/>
          <w:szCs w:val="24"/>
        </w:rPr>
        <w:t>p</w:t>
      </w:r>
      <w:r w:rsidR="00325E4E">
        <w:rPr>
          <w:i/>
          <w:iCs/>
          <w:sz w:val="24"/>
          <w:szCs w:val="24"/>
        </w:rPr>
        <w:t xml:space="preserve"> </w:t>
      </w:r>
      <w:r w:rsidRPr="008F194F">
        <w:rPr>
          <w:sz w:val="24"/>
          <w:szCs w:val="24"/>
        </w:rPr>
        <w:t xml:space="preserve">value </w:t>
      </w:r>
      <w:r w:rsidR="00325E4E">
        <w:rPr>
          <w:sz w:val="24"/>
          <w:szCs w:val="24"/>
        </w:rPr>
        <w:t>&lt;</w:t>
      </w:r>
      <w:r w:rsidR="000C2319" w:rsidRPr="008F194F">
        <w:rPr>
          <w:sz w:val="24"/>
          <w:szCs w:val="24"/>
        </w:rPr>
        <w:t>0.10</w:t>
      </w:r>
      <w:r w:rsidR="002345FA" w:rsidRPr="008F194F">
        <w:rPr>
          <w:sz w:val="24"/>
          <w:szCs w:val="24"/>
        </w:rPr>
        <w:t xml:space="preserve"> in the univariate analyse</w:t>
      </w:r>
      <w:r w:rsidRPr="008F194F">
        <w:rPr>
          <w:sz w:val="24"/>
          <w:szCs w:val="24"/>
        </w:rPr>
        <w:t>s were subsequently included in a multivariate logistic regression analysis.</w:t>
      </w:r>
      <w:r w:rsidR="00E23170" w:rsidRPr="008F194F">
        <w:rPr>
          <w:sz w:val="24"/>
          <w:szCs w:val="24"/>
        </w:rPr>
        <w:t xml:space="preserve"> </w:t>
      </w:r>
      <w:r w:rsidR="003851E5">
        <w:rPr>
          <w:b/>
          <w:sz w:val="24"/>
          <w:szCs w:val="24"/>
          <w:lang w:val="en-US"/>
        </w:rPr>
        <w:br w:type="page"/>
      </w:r>
    </w:p>
    <w:p w14:paraId="1EBEFAC1" w14:textId="697ECA18" w:rsidR="00791355" w:rsidRPr="00A27D7E" w:rsidRDefault="000207F5" w:rsidP="00A27D7E">
      <w:pPr>
        <w:spacing w:after="0" w:line="480" w:lineRule="auto"/>
        <w:rPr>
          <w:sz w:val="24"/>
          <w:szCs w:val="24"/>
          <w:lang w:val="en-US"/>
        </w:rPr>
      </w:pPr>
      <w:r w:rsidRPr="008F194F">
        <w:rPr>
          <w:b/>
          <w:sz w:val="24"/>
          <w:szCs w:val="24"/>
          <w:lang w:val="en-US"/>
        </w:rPr>
        <w:lastRenderedPageBreak/>
        <w:t>References</w:t>
      </w:r>
      <w:r w:rsidRPr="008F194F">
        <w:rPr>
          <w:rFonts w:ascii="Calibri" w:hAnsi="Calibri" w:cs="Calibri"/>
          <w:noProof/>
          <w:sz w:val="24"/>
          <w:szCs w:val="24"/>
        </w:rPr>
        <w:fldChar w:fldCharType="begin"/>
      </w:r>
      <w:r w:rsidRPr="008F194F">
        <w:rPr>
          <w:sz w:val="24"/>
          <w:szCs w:val="24"/>
        </w:rPr>
        <w:instrText xml:space="preserve"> ADDIN EN.REFLIST </w:instrText>
      </w:r>
      <w:r w:rsidRPr="008F194F">
        <w:rPr>
          <w:rFonts w:ascii="Calibri" w:hAnsi="Calibri" w:cs="Calibri"/>
          <w:noProof/>
          <w:sz w:val="24"/>
          <w:szCs w:val="24"/>
        </w:rPr>
        <w:fldChar w:fldCharType="separate"/>
      </w:r>
    </w:p>
    <w:p w14:paraId="2C6EAF74" w14:textId="472D679E" w:rsidR="00806457" w:rsidRPr="00FD6D36" w:rsidRDefault="00A27D7E" w:rsidP="008F194F">
      <w:pPr>
        <w:pStyle w:val="EndNoteBibliography"/>
        <w:spacing w:after="0" w:line="480" w:lineRule="auto"/>
        <w:rPr>
          <w:sz w:val="24"/>
          <w:szCs w:val="24"/>
        </w:rPr>
      </w:pPr>
      <w:r w:rsidRPr="00FD6D36">
        <w:rPr>
          <w:sz w:val="24"/>
          <w:szCs w:val="24"/>
        </w:rPr>
        <w:t>1</w:t>
      </w:r>
      <w:r w:rsidR="00791355" w:rsidRPr="00FD6D36">
        <w:rPr>
          <w:sz w:val="24"/>
          <w:szCs w:val="24"/>
        </w:rPr>
        <w:t>.</w:t>
      </w:r>
      <w:r w:rsidR="00971677" w:rsidRPr="00FD6D36">
        <w:rPr>
          <w:sz w:val="24"/>
          <w:szCs w:val="24"/>
        </w:rPr>
        <w:t xml:space="preserve"> </w:t>
      </w:r>
      <w:r w:rsidR="00FD6D36" w:rsidRPr="00FD6D36">
        <w:rPr>
          <w:sz w:val="24"/>
          <w:szCs w:val="24"/>
          <w:lang w:val="en-GB"/>
        </w:rPr>
        <w:t xml:space="preserve">Wisgerhof HC, Edelbroek JR, de Fijter JW, Feltkamp MC, Willemze R, Bouwes Bavinck JN. Trends of skin diseases in organ-transplant recipients transplanted between 1966 and 2006: a cohort study with follow-up between 1994 and 2006. </w:t>
      </w:r>
      <w:hyperlink r:id="rId8" w:anchor="ref1" w:tooltip="1" w:history="1">
        <w:r w:rsidR="00FD6D36" w:rsidRPr="00FD6D36">
          <w:rPr>
            <w:rStyle w:val="X00Journal"/>
            <w:rFonts w:cs="Arial"/>
            <w:sz w:val="24"/>
            <w:szCs w:val="24"/>
            <w:lang w:val="en-GB"/>
          </w:rPr>
          <w:t>Br J Dermatol</w:t>
        </w:r>
      </w:hyperlink>
      <w:r w:rsidR="00FD6D36" w:rsidRPr="00FD6D36">
        <w:rPr>
          <w:sz w:val="24"/>
          <w:szCs w:val="24"/>
          <w:lang w:val="en-GB"/>
        </w:rPr>
        <w:t>. 2010 Feb;162(2):390–6.</w:t>
      </w:r>
    </w:p>
    <w:p w14:paraId="1FA6794F" w14:textId="25435E48" w:rsidR="00791355" w:rsidRPr="008F194F" w:rsidRDefault="00806457" w:rsidP="008F194F">
      <w:pPr>
        <w:pStyle w:val="EndNoteBibliography"/>
        <w:spacing w:after="0" w:line="480" w:lineRule="auto"/>
        <w:rPr>
          <w:sz w:val="24"/>
          <w:szCs w:val="24"/>
        </w:rPr>
      </w:pPr>
      <w:r>
        <w:rPr>
          <w:sz w:val="24"/>
          <w:szCs w:val="24"/>
        </w:rPr>
        <w:t xml:space="preserve">2. </w:t>
      </w:r>
      <w:r w:rsidR="00791355" w:rsidRPr="008F194F">
        <w:rPr>
          <w:sz w:val="24"/>
          <w:szCs w:val="24"/>
        </w:rPr>
        <w:t>Hongbo Y, Thomas CL, Harrison MA, Salek MS, Finlay AY. Translating the science of quality of life into practice: What do dermatology life quality index scores mean? J Invest Dermatol. 2005;125(4):659-64.</w:t>
      </w:r>
    </w:p>
    <w:p w14:paraId="50889235" w14:textId="717C1B18" w:rsidR="00791355" w:rsidRPr="008F194F" w:rsidRDefault="00806457" w:rsidP="008F194F">
      <w:pPr>
        <w:pStyle w:val="EndNoteBibliography"/>
        <w:spacing w:after="0" w:line="480" w:lineRule="auto"/>
        <w:rPr>
          <w:sz w:val="24"/>
          <w:szCs w:val="24"/>
        </w:rPr>
      </w:pPr>
      <w:r>
        <w:rPr>
          <w:sz w:val="24"/>
          <w:szCs w:val="24"/>
        </w:rPr>
        <w:t>3</w:t>
      </w:r>
      <w:r w:rsidR="00791355" w:rsidRPr="008F194F">
        <w:rPr>
          <w:sz w:val="24"/>
          <w:szCs w:val="24"/>
        </w:rPr>
        <w:t>.</w:t>
      </w:r>
      <w:r w:rsidR="00971677">
        <w:rPr>
          <w:sz w:val="24"/>
          <w:szCs w:val="24"/>
        </w:rPr>
        <w:t xml:space="preserve"> </w:t>
      </w:r>
      <w:r w:rsidR="00791355" w:rsidRPr="008F194F">
        <w:rPr>
          <w:sz w:val="24"/>
          <w:szCs w:val="24"/>
        </w:rPr>
        <w:t>Fitzpatrick TB. The validity and practicality of sun-reactive skin types I through VI. Arch Dermatol. 1988;124(6):869-71.</w:t>
      </w:r>
    </w:p>
    <w:p w14:paraId="225DD22C" w14:textId="074C939B" w:rsidR="00791355" w:rsidRPr="005D72F2" w:rsidRDefault="00806457" w:rsidP="008F194F">
      <w:pPr>
        <w:pStyle w:val="EndNoteBibliography"/>
        <w:spacing w:after="0" w:line="480" w:lineRule="auto"/>
        <w:rPr>
          <w:sz w:val="24"/>
          <w:szCs w:val="24"/>
          <w:lang w:val="nb-NO"/>
        </w:rPr>
      </w:pPr>
      <w:r>
        <w:rPr>
          <w:sz w:val="24"/>
          <w:szCs w:val="24"/>
        </w:rPr>
        <w:t>4</w:t>
      </w:r>
      <w:r w:rsidR="00791355" w:rsidRPr="008F194F">
        <w:rPr>
          <w:sz w:val="24"/>
          <w:szCs w:val="24"/>
        </w:rPr>
        <w:t>.</w:t>
      </w:r>
      <w:r w:rsidR="00971677">
        <w:rPr>
          <w:sz w:val="24"/>
          <w:szCs w:val="24"/>
        </w:rPr>
        <w:t xml:space="preserve"> </w:t>
      </w:r>
      <w:r w:rsidR="00791355" w:rsidRPr="008F194F">
        <w:rPr>
          <w:sz w:val="24"/>
          <w:szCs w:val="24"/>
        </w:rPr>
        <w:t xml:space="preserve">Stewart S, Winters GL, Fishbein MC, Tazelaar HD, Kobashigawa J, Abrams J, et al. Revision of the 1990 working formulation for the standardization of nomenclature in the diagnosis of heart rejection. </w:t>
      </w:r>
      <w:r w:rsidR="00791355" w:rsidRPr="005D72F2">
        <w:rPr>
          <w:sz w:val="24"/>
          <w:szCs w:val="24"/>
          <w:lang w:val="nb-NO"/>
        </w:rPr>
        <w:t>J Heart Lung Transplant. 2005;24(11):1710-20.</w:t>
      </w:r>
    </w:p>
    <w:p w14:paraId="360721B8" w14:textId="725F5F7A" w:rsidR="008F194F" w:rsidRPr="008F194F" w:rsidRDefault="00806457" w:rsidP="00A27D7E">
      <w:pPr>
        <w:pStyle w:val="EndNoteBibliography"/>
        <w:spacing w:after="0" w:line="480" w:lineRule="auto"/>
        <w:rPr>
          <w:sz w:val="24"/>
          <w:szCs w:val="24"/>
        </w:rPr>
      </w:pPr>
      <w:r>
        <w:rPr>
          <w:sz w:val="24"/>
          <w:szCs w:val="24"/>
          <w:lang w:val="nb-NO"/>
        </w:rPr>
        <w:t>5</w:t>
      </w:r>
      <w:r w:rsidR="00791355" w:rsidRPr="005D72F2">
        <w:rPr>
          <w:sz w:val="24"/>
          <w:szCs w:val="24"/>
          <w:lang w:val="nb-NO"/>
        </w:rPr>
        <w:t>.</w:t>
      </w:r>
      <w:r w:rsidR="00971677" w:rsidRPr="005D72F2">
        <w:rPr>
          <w:sz w:val="24"/>
          <w:szCs w:val="24"/>
          <w:lang w:val="nb-NO"/>
        </w:rPr>
        <w:t xml:space="preserve"> </w:t>
      </w:r>
      <w:r w:rsidR="00791355" w:rsidRPr="005D72F2">
        <w:rPr>
          <w:sz w:val="24"/>
          <w:szCs w:val="24"/>
          <w:lang w:val="nb-NO"/>
        </w:rPr>
        <w:t xml:space="preserve">Stewart S, Fishbein MC, Snell GI, Berry GJ, Boehler A, Burke MM, et al. </w:t>
      </w:r>
      <w:r w:rsidR="00791355" w:rsidRPr="008F194F">
        <w:rPr>
          <w:sz w:val="24"/>
          <w:szCs w:val="24"/>
        </w:rPr>
        <w:t>Revision of the 1996 working formulation for the standardization of nomenclature in the diagnosis of lung rejection. J Heart Lung Transplant. 2007;26(12):1229-42.</w:t>
      </w:r>
      <w:r w:rsidR="000207F5" w:rsidRPr="008F194F">
        <w:rPr>
          <w:sz w:val="24"/>
          <w:szCs w:val="24"/>
        </w:rPr>
        <w:fldChar w:fldCharType="end"/>
      </w:r>
    </w:p>
    <w:sectPr w:rsidR="008F194F" w:rsidRPr="008F194F" w:rsidSect="00B83F0D">
      <w:footerReference w:type="default" r:id="rId9"/>
      <w:footnotePr>
        <w:numFmt w:val="chicago"/>
      </w:footnotePr>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AB95E" w14:textId="77777777" w:rsidR="000D6B7B" w:rsidRDefault="000D6B7B" w:rsidP="001A2117">
      <w:pPr>
        <w:spacing w:after="0" w:line="240" w:lineRule="auto"/>
      </w:pPr>
      <w:r>
        <w:separator/>
      </w:r>
    </w:p>
  </w:endnote>
  <w:endnote w:type="continuationSeparator" w:id="0">
    <w:p w14:paraId="201184FB" w14:textId="77777777" w:rsidR="000D6B7B" w:rsidRDefault="000D6B7B" w:rsidP="001A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440188"/>
      <w:docPartObj>
        <w:docPartGallery w:val="Page Numbers (Bottom of Page)"/>
        <w:docPartUnique/>
      </w:docPartObj>
    </w:sdtPr>
    <w:sdtEndPr>
      <w:rPr>
        <w:noProof/>
      </w:rPr>
    </w:sdtEndPr>
    <w:sdtContent>
      <w:p w14:paraId="2EF9F1A5" w14:textId="77777777" w:rsidR="00B83F0D" w:rsidRDefault="00B83F0D">
        <w:pPr>
          <w:pStyle w:val="Fuzeile"/>
          <w:jc w:val="right"/>
        </w:pPr>
        <w:r>
          <w:fldChar w:fldCharType="begin"/>
        </w:r>
        <w:r>
          <w:instrText xml:space="preserve"> PAGE   \* MERGEFORMAT </w:instrText>
        </w:r>
        <w:r>
          <w:fldChar w:fldCharType="separate"/>
        </w:r>
        <w:r>
          <w:rPr>
            <w:noProof/>
          </w:rPr>
          <w:t>22</w:t>
        </w:r>
        <w:r>
          <w:rPr>
            <w:noProof/>
          </w:rPr>
          <w:fldChar w:fldCharType="end"/>
        </w:r>
      </w:p>
    </w:sdtContent>
  </w:sdt>
  <w:p w14:paraId="45B8044F" w14:textId="77777777" w:rsidR="00B83F0D" w:rsidRDefault="00B83F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BA5A6" w14:textId="77777777" w:rsidR="000D6B7B" w:rsidRDefault="000D6B7B" w:rsidP="001A2117">
      <w:pPr>
        <w:spacing w:after="0" w:line="240" w:lineRule="auto"/>
      </w:pPr>
      <w:r>
        <w:separator/>
      </w:r>
    </w:p>
  </w:footnote>
  <w:footnote w:type="continuationSeparator" w:id="0">
    <w:p w14:paraId="22452604" w14:textId="77777777" w:rsidR="000D6B7B" w:rsidRDefault="000D6B7B" w:rsidP="001A2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A5301"/>
    <w:multiLevelType w:val="hybridMultilevel"/>
    <w:tmpl w:val="20EC5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 SUPERSCRIPT CIT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de2eer6w995ze9tvjvfr0hapfwz9r5v2xw&quot;&gt;My EndNote Library&lt;record-ids&gt;&lt;item&gt;1&lt;/item&gt;&lt;item&gt;15&lt;/item&gt;&lt;item&gt;24&lt;/item&gt;&lt;item&gt;52&lt;/item&gt;&lt;item&gt;80&lt;/item&gt;&lt;item&gt;90&lt;/item&gt;&lt;item&gt;91&lt;/item&gt;&lt;item&gt;119&lt;/item&gt;&lt;item&gt;144&lt;/item&gt;&lt;item&gt;146&lt;/item&gt;&lt;item&gt;151&lt;/item&gt;&lt;item&gt;152&lt;/item&gt;&lt;item&gt;168&lt;/item&gt;&lt;item&gt;174&lt;/item&gt;&lt;item&gt;197&lt;/item&gt;&lt;item&gt;205&lt;/item&gt;&lt;item&gt;216&lt;/item&gt;&lt;item&gt;228&lt;/item&gt;&lt;item&gt;239&lt;/item&gt;&lt;item&gt;272&lt;/item&gt;&lt;item&gt;285&lt;/item&gt;&lt;item&gt;289&lt;/item&gt;&lt;item&gt;291&lt;/item&gt;&lt;item&gt;354&lt;/item&gt;&lt;item&gt;397&lt;/item&gt;&lt;item&gt;420&lt;/item&gt;&lt;item&gt;432&lt;/item&gt;&lt;item&gt;436&lt;/item&gt;&lt;item&gt;444&lt;/item&gt;&lt;item&gt;457&lt;/item&gt;&lt;item&gt;502&lt;/item&gt;&lt;item&gt;526&lt;/item&gt;&lt;item&gt;527&lt;/item&gt;&lt;item&gt;531&lt;/item&gt;&lt;item&gt;535&lt;/item&gt;&lt;item&gt;553&lt;/item&gt;&lt;item&gt;601&lt;/item&gt;&lt;item&gt;632&lt;/item&gt;&lt;item&gt;634&lt;/item&gt;&lt;item&gt;636&lt;/item&gt;&lt;item&gt;638&lt;/item&gt;&lt;/record-ids&gt;&lt;/item&gt;&lt;/Libraries&gt;"/>
  </w:docVars>
  <w:rsids>
    <w:rsidRoot w:val="009948B0"/>
    <w:rsid w:val="00017C78"/>
    <w:rsid w:val="000207F5"/>
    <w:rsid w:val="0002505A"/>
    <w:rsid w:val="00060975"/>
    <w:rsid w:val="00062375"/>
    <w:rsid w:val="000739D0"/>
    <w:rsid w:val="000A7642"/>
    <w:rsid w:val="000C2319"/>
    <w:rsid w:val="000C3203"/>
    <w:rsid w:val="000D3C35"/>
    <w:rsid w:val="000D6B7B"/>
    <w:rsid w:val="000F1C4F"/>
    <w:rsid w:val="00115328"/>
    <w:rsid w:val="001320B6"/>
    <w:rsid w:val="00176F10"/>
    <w:rsid w:val="001818F7"/>
    <w:rsid w:val="00183343"/>
    <w:rsid w:val="001850CE"/>
    <w:rsid w:val="001935C4"/>
    <w:rsid w:val="001A2117"/>
    <w:rsid w:val="002124DE"/>
    <w:rsid w:val="002142B8"/>
    <w:rsid w:val="002345FA"/>
    <w:rsid w:val="00235CDB"/>
    <w:rsid w:val="00252783"/>
    <w:rsid w:val="002E5A43"/>
    <w:rsid w:val="00307E05"/>
    <w:rsid w:val="00324317"/>
    <w:rsid w:val="00325E4E"/>
    <w:rsid w:val="00330A18"/>
    <w:rsid w:val="00337450"/>
    <w:rsid w:val="00347A95"/>
    <w:rsid w:val="0036385F"/>
    <w:rsid w:val="003851E5"/>
    <w:rsid w:val="00385352"/>
    <w:rsid w:val="003C1051"/>
    <w:rsid w:val="003D24CA"/>
    <w:rsid w:val="003D524C"/>
    <w:rsid w:val="003D68EA"/>
    <w:rsid w:val="003E0FAF"/>
    <w:rsid w:val="0041000C"/>
    <w:rsid w:val="00422368"/>
    <w:rsid w:val="0042490D"/>
    <w:rsid w:val="004257BB"/>
    <w:rsid w:val="004273E8"/>
    <w:rsid w:val="00455732"/>
    <w:rsid w:val="0047591E"/>
    <w:rsid w:val="00495EAD"/>
    <w:rsid w:val="004B00D9"/>
    <w:rsid w:val="004B5AB4"/>
    <w:rsid w:val="004F72CA"/>
    <w:rsid w:val="00517CE8"/>
    <w:rsid w:val="00527D78"/>
    <w:rsid w:val="0053369E"/>
    <w:rsid w:val="00534782"/>
    <w:rsid w:val="0059303E"/>
    <w:rsid w:val="005949DC"/>
    <w:rsid w:val="005A1F71"/>
    <w:rsid w:val="005C1A96"/>
    <w:rsid w:val="005D72F2"/>
    <w:rsid w:val="005F095F"/>
    <w:rsid w:val="005F5590"/>
    <w:rsid w:val="00623488"/>
    <w:rsid w:val="00627FC2"/>
    <w:rsid w:val="00644B01"/>
    <w:rsid w:val="00681099"/>
    <w:rsid w:val="00682802"/>
    <w:rsid w:val="00697AD1"/>
    <w:rsid w:val="006C059C"/>
    <w:rsid w:val="006D5180"/>
    <w:rsid w:val="006F1B06"/>
    <w:rsid w:val="007408D9"/>
    <w:rsid w:val="0074480B"/>
    <w:rsid w:val="00746E69"/>
    <w:rsid w:val="00777314"/>
    <w:rsid w:val="00791355"/>
    <w:rsid w:val="00793586"/>
    <w:rsid w:val="007B79E0"/>
    <w:rsid w:val="007D4EE5"/>
    <w:rsid w:val="007E54F3"/>
    <w:rsid w:val="00804C44"/>
    <w:rsid w:val="00806457"/>
    <w:rsid w:val="00885246"/>
    <w:rsid w:val="008D44EC"/>
    <w:rsid w:val="008F194F"/>
    <w:rsid w:val="00903DAE"/>
    <w:rsid w:val="00904F24"/>
    <w:rsid w:val="009243C8"/>
    <w:rsid w:val="009450F9"/>
    <w:rsid w:val="00945E63"/>
    <w:rsid w:val="00967892"/>
    <w:rsid w:val="00971677"/>
    <w:rsid w:val="00976363"/>
    <w:rsid w:val="00981CE7"/>
    <w:rsid w:val="00982DD0"/>
    <w:rsid w:val="009948B0"/>
    <w:rsid w:val="00997CAB"/>
    <w:rsid w:val="009C5E12"/>
    <w:rsid w:val="009C75A5"/>
    <w:rsid w:val="009D2323"/>
    <w:rsid w:val="009F7DF1"/>
    <w:rsid w:val="00A12D2E"/>
    <w:rsid w:val="00A1500F"/>
    <w:rsid w:val="00A24D2D"/>
    <w:rsid w:val="00A27D7E"/>
    <w:rsid w:val="00A61963"/>
    <w:rsid w:val="00A62501"/>
    <w:rsid w:val="00A751E2"/>
    <w:rsid w:val="00AB1573"/>
    <w:rsid w:val="00AB3EAD"/>
    <w:rsid w:val="00AB5AFF"/>
    <w:rsid w:val="00AF4055"/>
    <w:rsid w:val="00B047B5"/>
    <w:rsid w:val="00B30BD3"/>
    <w:rsid w:val="00B34158"/>
    <w:rsid w:val="00B35733"/>
    <w:rsid w:val="00B7444A"/>
    <w:rsid w:val="00B83F0D"/>
    <w:rsid w:val="00BB0318"/>
    <w:rsid w:val="00BD5D59"/>
    <w:rsid w:val="00BD5F68"/>
    <w:rsid w:val="00BE207E"/>
    <w:rsid w:val="00BE2A18"/>
    <w:rsid w:val="00C410A4"/>
    <w:rsid w:val="00D44C52"/>
    <w:rsid w:val="00D664DC"/>
    <w:rsid w:val="00D74271"/>
    <w:rsid w:val="00DA0DD8"/>
    <w:rsid w:val="00DC7380"/>
    <w:rsid w:val="00DC79C2"/>
    <w:rsid w:val="00DF472D"/>
    <w:rsid w:val="00DF664A"/>
    <w:rsid w:val="00E05BFB"/>
    <w:rsid w:val="00E23170"/>
    <w:rsid w:val="00E4681C"/>
    <w:rsid w:val="00E630DD"/>
    <w:rsid w:val="00EB1018"/>
    <w:rsid w:val="00EB3C57"/>
    <w:rsid w:val="00EC05EE"/>
    <w:rsid w:val="00EC651F"/>
    <w:rsid w:val="00ED1B4F"/>
    <w:rsid w:val="00ED2406"/>
    <w:rsid w:val="00EF344B"/>
    <w:rsid w:val="00F246B0"/>
    <w:rsid w:val="00F25457"/>
    <w:rsid w:val="00F257F4"/>
    <w:rsid w:val="00FB1C01"/>
    <w:rsid w:val="00FC126F"/>
    <w:rsid w:val="00FD6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8B81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Char"/>
    <w:rsid w:val="000207F5"/>
    <w:pPr>
      <w:spacing w:after="0"/>
      <w:jc w:val="center"/>
    </w:pPr>
    <w:rPr>
      <w:rFonts w:ascii="Calibri" w:hAnsi="Calibri" w:cs="Calibri"/>
      <w:noProof/>
      <w:lang w:val="en-US"/>
    </w:rPr>
  </w:style>
  <w:style w:type="character" w:customStyle="1" w:styleId="EndNoteBibliographyTitleChar">
    <w:name w:val="EndNote Bibliography Title Char"/>
    <w:basedOn w:val="Absatz-Standardschriftart"/>
    <w:link w:val="EndNoteBibliographyTitle"/>
    <w:rsid w:val="000207F5"/>
    <w:rPr>
      <w:rFonts w:ascii="Calibri" w:hAnsi="Calibri" w:cs="Calibri"/>
      <w:noProof/>
      <w:lang w:val="en-US"/>
    </w:rPr>
  </w:style>
  <w:style w:type="paragraph" w:customStyle="1" w:styleId="EndNoteBibliography">
    <w:name w:val="EndNote Bibliography"/>
    <w:basedOn w:val="Standard"/>
    <w:link w:val="EndNoteBibliographyChar"/>
    <w:rsid w:val="000207F5"/>
    <w:pPr>
      <w:spacing w:line="240" w:lineRule="auto"/>
    </w:pPr>
    <w:rPr>
      <w:rFonts w:ascii="Calibri" w:hAnsi="Calibri" w:cs="Calibri"/>
      <w:noProof/>
      <w:lang w:val="en-US"/>
    </w:rPr>
  </w:style>
  <w:style w:type="character" w:customStyle="1" w:styleId="EndNoteBibliographyChar">
    <w:name w:val="EndNote Bibliography Char"/>
    <w:basedOn w:val="Absatz-Standardschriftart"/>
    <w:link w:val="EndNoteBibliography"/>
    <w:rsid w:val="000207F5"/>
    <w:rPr>
      <w:rFonts w:ascii="Calibri" w:hAnsi="Calibri" w:cs="Calibri"/>
      <w:noProof/>
      <w:lang w:val="en-US"/>
    </w:rPr>
  </w:style>
  <w:style w:type="paragraph" w:styleId="KeinLeerraum">
    <w:name w:val="No Spacing"/>
    <w:link w:val="KeinLeerraumZchn"/>
    <w:uiPriority w:val="1"/>
    <w:qFormat/>
    <w:rsid w:val="000207F5"/>
    <w:pPr>
      <w:spacing w:after="0" w:line="240" w:lineRule="auto"/>
    </w:pPr>
    <w:rPr>
      <w:lang w:val="en-US"/>
    </w:rPr>
  </w:style>
  <w:style w:type="character" w:customStyle="1" w:styleId="KeinLeerraumZchn">
    <w:name w:val="Kein Leerraum Zchn"/>
    <w:basedOn w:val="Absatz-Standardschriftart"/>
    <w:link w:val="KeinLeerraum"/>
    <w:uiPriority w:val="1"/>
    <w:rsid w:val="000207F5"/>
    <w:rPr>
      <w:lang w:val="en-US"/>
    </w:rPr>
  </w:style>
  <w:style w:type="paragraph" w:styleId="Funotentext">
    <w:name w:val="footnote text"/>
    <w:basedOn w:val="Standard"/>
    <w:link w:val="FunotentextZchn"/>
    <w:uiPriority w:val="99"/>
    <w:semiHidden/>
    <w:unhideWhenUsed/>
    <w:rsid w:val="001A2117"/>
    <w:pPr>
      <w:spacing w:after="0" w:line="240" w:lineRule="auto"/>
    </w:pPr>
    <w:rPr>
      <w:sz w:val="20"/>
      <w:szCs w:val="20"/>
      <w:lang w:val="en-US"/>
    </w:rPr>
  </w:style>
  <w:style w:type="character" w:customStyle="1" w:styleId="FunotentextZchn">
    <w:name w:val="Fußnotentext Zchn"/>
    <w:basedOn w:val="Absatz-Standardschriftart"/>
    <w:link w:val="Funotentext"/>
    <w:uiPriority w:val="99"/>
    <w:semiHidden/>
    <w:rsid w:val="001A2117"/>
    <w:rPr>
      <w:sz w:val="20"/>
      <w:szCs w:val="20"/>
      <w:lang w:val="en-US"/>
    </w:rPr>
  </w:style>
  <w:style w:type="character" w:styleId="Funotenzeichen">
    <w:name w:val="footnote reference"/>
    <w:basedOn w:val="Absatz-Standardschriftart"/>
    <w:uiPriority w:val="99"/>
    <w:semiHidden/>
    <w:unhideWhenUsed/>
    <w:rsid w:val="001A2117"/>
    <w:rPr>
      <w:b w:val="0"/>
      <w:i w:val="0"/>
      <w:vertAlign w:val="superscript"/>
    </w:rPr>
  </w:style>
  <w:style w:type="table" w:styleId="Tabellenraster">
    <w:name w:val="Table Grid"/>
    <w:basedOn w:val="NormaleTabelle"/>
    <w:uiPriority w:val="39"/>
    <w:rsid w:val="003D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1000C"/>
    <w:pPr>
      <w:ind w:left="720"/>
      <w:contextualSpacing/>
    </w:pPr>
  </w:style>
  <w:style w:type="paragraph" w:styleId="Kopfzeile">
    <w:name w:val="header"/>
    <w:basedOn w:val="Standard"/>
    <w:link w:val="KopfzeileZchn"/>
    <w:uiPriority w:val="99"/>
    <w:unhideWhenUsed/>
    <w:rsid w:val="00945E6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45E63"/>
  </w:style>
  <w:style w:type="paragraph" w:styleId="Fuzeile">
    <w:name w:val="footer"/>
    <w:basedOn w:val="Standard"/>
    <w:link w:val="FuzeileZchn"/>
    <w:uiPriority w:val="99"/>
    <w:unhideWhenUsed/>
    <w:rsid w:val="00945E6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45E63"/>
  </w:style>
  <w:style w:type="character" w:styleId="Zeilennummer">
    <w:name w:val="line number"/>
    <w:basedOn w:val="Absatz-Standardschriftart"/>
    <w:uiPriority w:val="99"/>
    <w:semiHidden/>
    <w:unhideWhenUsed/>
    <w:rsid w:val="00B83F0D"/>
  </w:style>
  <w:style w:type="paragraph" w:styleId="Sprechblasentext">
    <w:name w:val="Balloon Text"/>
    <w:basedOn w:val="Standard"/>
    <w:link w:val="SprechblasentextZchn"/>
    <w:uiPriority w:val="99"/>
    <w:semiHidden/>
    <w:unhideWhenUsed/>
    <w:rsid w:val="004B5A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5AB4"/>
    <w:rPr>
      <w:rFonts w:ascii="Segoe UI" w:hAnsi="Segoe UI" w:cs="Segoe UI"/>
      <w:sz w:val="18"/>
      <w:szCs w:val="18"/>
    </w:rPr>
  </w:style>
  <w:style w:type="character" w:customStyle="1" w:styleId="X00Journal">
    <w:name w:val="X00_Journal"/>
    <w:basedOn w:val="Absatz-Standardschriftart"/>
    <w:uiPriority w:val="1"/>
    <w:qFormat/>
    <w:rsid w:val="00FD6D36"/>
    <w:rPr>
      <w:rFonts w:cs="Times New Roman"/>
      <w:color w:val="0085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ger.com/Article/FullText/510055?ref=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BE3F-97D6-47F1-8C5F-952DD2EC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4704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2020-09-04T09:57:00Z</dcterms:created>
  <dcterms:modified xsi:type="dcterms:W3CDTF">2020-09-04T09:57:00Z</dcterms:modified>
</cp:coreProperties>
</file>