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757AC" w14:textId="77777777" w:rsidR="00AA4E1B" w:rsidRPr="0000104F" w:rsidRDefault="00AA4E1B" w:rsidP="003D2697">
      <w:pPr>
        <w:rPr>
          <w:rFonts w:ascii="Arial" w:hAnsi="Arial" w:cs="Arial"/>
          <w:noProof/>
          <w:szCs w:val="24"/>
          <w:lang w:val="en-AU"/>
        </w:rPr>
      </w:pPr>
      <w:r w:rsidRPr="0000104F">
        <w:rPr>
          <w:rFonts w:ascii="Arial" w:hAnsi="Arial" w:cs="Arial"/>
          <w:b/>
          <w:bCs/>
          <w:szCs w:val="24"/>
        </w:rPr>
        <w:t>Supplemental Material 1</w:t>
      </w:r>
    </w:p>
    <w:p w14:paraId="304B2020" w14:textId="77777777" w:rsidR="00AA4E1B" w:rsidRPr="0000104F" w:rsidRDefault="00AA4E1B" w:rsidP="003D2697">
      <w:pPr>
        <w:rPr>
          <w:rFonts w:ascii="Arial" w:hAnsi="Arial" w:cs="Arial"/>
          <w:b/>
          <w:szCs w:val="24"/>
        </w:rPr>
      </w:pPr>
      <w:r w:rsidRPr="0000104F">
        <w:rPr>
          <w:rFonts w:ascii="Arial" w:hAnsi="Arial" w:cs="Arial"/>
          <w:b/>
          <w:noProof/>
          <w:szCs w:val="24"/>
          <w:lang w:val="en-AU"/>
        </w:rPr>
        <w:t xml:space="preserve">The Empirical Dietary Inflammatory Pattern score (EDIP) </w:t>
      </w:r>
      <w:r w:rsidRPr="0000104F">
        <w:rPr>
          <w:rFonts w:ascii="Arial" w:hAnsi="Arial" w:cs="Arial"/>
          <w:b/>
          <w:szCs w:val="24"/>
        </w:rPr>
        <w:t>score calculation</w:t>
      </w:r>
    </w:p>
    <w:p w14:paraId="4398638E" w14:textId="0C703DBA" w:rsidR="00011869" w:rsidRPr="0000104F" w:rsidRDefault="00AA4E1B" w:rsidP="003D2697">
      <w:pPr>
        <w:rPr>
          <w:rFonts w:ascii="Arial" w:hAnsi="Arial" w:cs="Arial"/>
          <w:noProof/>
          <w:szCs w:val="24"/>
          <w:vertAlign w:val="superscript"/>
        </w:rPr>
      </w:pPr>
      <w:r w:rsidRPr="0000104F">
        <w:rPr>
          <w:rFonts w:ascii="Arial" w:hAnsi="Arial" w:cs="Arial"/>
          <w:szCs w:val="24"/>
        </w:rPr>
        <w:t>A modified-EDIP score was calculated with the formula: (165.03443 x processed meat servings/day) + (140.19344 x red meat servings/day) + (144.60554 x organ meat servings/day) + (252.44533 x other fish servings/day) + (81.21217 x refined grain servings/day) – (136.99127 x beer servings/day) – (249.70411 x wine servings/day) – (45.08391 x snack servings/day) – (1,175.21060 x pizza servings/day). All scores were divided by 1,000.</w:t>
      </w:r>
      <w:r w:rsidR="00011869" w:rsidRPr="0000104F">
        <w:rPr>
          <w:rFonts w:ascii="Arial" w:hAnsi="Arial" w:cs="Arial"/>
          <w:szCs w:val="24"/>
          <w:vertAlign w:val="superscript"/>
        </w:rPr>
        <w:t>1</w:t>
      </w:r>
      <w:r w:rsidRPr="0000104F">
        <w:rPr>
          <w:rFonts w:ascii="Arial" w:hAnsi="Arial" w:cs="Arial"/>
          <w:szCs w:val="24"/>
        </w:rPr>
        <w:t xml:space="preserve"> </w:t>
      </w:r>
    </w:p>
    <w:p w14:paraId="770C2BF1" w14:textId="77777777" w:rsidR="00011869" w:rsidRPr="0000104F" w:rsidRDefault="00011869" w:rsidP="003D2697">
      <w:pPr>
        <w:rPr>
          <w:rFonts w:ascii="Arial" w:hAnsi="Arial" w:cs="Arial"/>
          <w:noProof/>
          <w:szCs w:val="24"/>
          <w:vertAlign w:val="superscript"/>
        </w:rPr>
      </w:pPr>
    </w:p>
    <w:p w14:paraId="4CD329EF" w14:textId="77777777" w:rsidR="00011869" w:rsidRPr="0000104F" w:rsidRDefault="00011869" w:rsidP="003D2697">
      <w:pPr>
        <w:rPr>
          <w:rFonts w:ascii="Arial" w:hAnsi="Arial" w:cs="Arial"/>
          <w:noProof/>
          <w:szCs w:val="24"/>
          <w:vertAlign w:val="superscript"/>
        </w:rPr>
      </w:pPr>
    </w:p>
    <w:p w14:paraId="02096AFA" w14:textId="77777777" w:rsidR="00011869" w:rsidRPr="0000104F" w:rsidRDefault="00011869" w:rsidP="003D2697">
      <w:pPr>
        <w:rPr>
          <w:rFonts w:ascii="Arial" w:hAnsi="Arial" w:cs="Arial"/>
          <w:noProof/>
          <w:szCs w:val="24"/>
          <w:vertAlign w:val="superscript"/>
        </w:rPr>
      </w:pPr>
    </w:p>
    <w:p w14:paraId="138C7642" w14:textId="48FCD18D" w:rsidR="00011869" w:rsidRPr="0000104F" w:rsidRDefault="00011869" w:rsidP="003D2697">
      <w:pPr>
        <w:rPr>
          <w:rFonts w:ascii="Arial" w:hAnsi="Arial" w:cs="Arial"/>
          <w:noProof/>
          <w:szCs w:val="24"/>
          <w:vertAlign w:val="superscript"/>
        </w:rPr>
      </w:pPr>
    </w:p>
    <w:p w14:paraId="25FFE4EB" w14:textId="64FDC4EA" w:rsidR="00011869" w:rsidRPr="0000104F" w:rsidRDefault="00011869" w:rsidP="003D2697">
      <w:pPr>
        <w:rPr>
          <w:rFonts w:ascii="Arial" w:hAnsi="Arial" w:cs="Arial"/>
          <w:noProof/>
          <w:szCs w:val="24"/>
          <w:vertAlign w:val="superscript"/>
        </w:rPr>
      </w:pPr>
    </w:p>
    <w:p w14:paraId="76783207" w14:textId="7C241B65" w:rsidR="00011869" w:rsidRPr="0000104F" w:rsidRDefault="00011869" w:rsidP="003D2697">
      <w:pPr>
        <w:rPr>
          <w:rFonts w:ascii="Arial" w:hAnsi="Arial" w:cs="Arial"/>
          <w:noProof/>
          <w:szCs w:val="24"/>
          <w:vertAlign w:val="superscript"/>
        </w:rPr>
      </w:pPr>
    </w:p>
    <w:p w14:paraId="103BDE6A" w14:textId="63D05190" w:rsidR="00011869" w:rsidRPr="0000104F" w:rsidRDefault="00011869" w:rsidP="003D2697">
      <w:pPr>
        <w:rPr>
          <w:rFonts w:ascii="Arial" w:hAnsi="Arial" w:cs="Arial"/>
          <w:noProof/>
          <w:szCs w:val="24"/>
          <w:vertAlign w:val="superscript"/>
        </w:rPr>
      </w:pPr>
    </w:p>
    <w:p w14:paraId="49D5DEF9" w14:textId="2CD7D23F" w:rsidR="00011869" w:rsidRPr="0000104F" w:rsidRDefault="00011869" w:rsidP="003D2697">
      <w:pPr>
        <w:rPr>
          <w:rFonts w:ascii="Arial" w:hAnsi="Arial" w:cs="Arial"/>
          <w:noProof/>
          <w:szCs w:val="24"/>
          <w:vertAlign w:val="superscript"/>
        </w:rPr>
      </w:pPr>
    </w:p>
    <w:p w14:paraId="6EA981EB" w14:textId="77E9F5B3" w:rsidR="00011869" w:rsidRPr="0000104F" w:rsidRDefault="00011869" w:rsidP="003D2697">
      <w:pPr>
        <w:rPr>
          <w:rFonts w:ascii="Arial" w:hAnsi="Arial" w:cs="Arial"/>
          <w:noProof/>
          <w:szCs w:val="24"/>
          <w:vertAlign w:val="superscript"/>
        </w:rPr>
      </w:pPr>
    </w:p>
    <w:p w14:paraId="6583D26E" w14:textId="1B80AB6A" w:rsidR="00011869" w:rsidRPr="0000104F" w:rsidRDefault="00011869" w:rsidP="003D2697">
      <w:pPr>
        <w:rPr>
          <w:rFonts w:ascii="Arial" w:hAnsi="Arial" w:cs="Arial"/>
          <w:noProof/>
          <w:szCs w:val="24"/>
          <w:vertAlign w:val="superscript"/>
        </w:rPr>
      </w:pPr>
    </w:p>
    <w:p w14:paraId="323CC2D9" w14:textId="77777777" w:rsidR="00FD019F" w:rsidRPr="0000104F" w:rsidRDefault="00FD019F" w:rsidP="003D2697">
      <w:pPr>
        <w:rPr>
          <w:rFonts w:ascii="Arial" w:hAnsi="Arial" w:cs="Arial"/>
          <w:noProof/>
          <w:szCs w:val="24"/>
          <w:vertAlign w:val="superscript"/>
        </w:rPr>
      </w:pPr>
    </w:p>
    <w:p w14:paraId="36D1D9CE" w14:textId="09A4FAE1" w:rsidR="009922D2" w:rsidRPr="009922D2" w:rsidRDefault="00011869" w:rsidP="003D269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proofErr w:type="spellStart"/>
      <w:r w:rsidRPr="0000104F">
        <w:rPr>
          <w:rFonts w:ascii="Arial" w:hAnsi="Arial" w:cs="Arial"/>
          <w:sz w:val="20"/>
          <w:szCs w:val="20"/>
          <w:lang w:val="en-AU"/>
        </w:rPr>
        <w:t>Tabung</w:t>
      </w:r>
      <w:proofErr w:type="spellEnd"/>
      <w:r w:rsidRPr="0000104F">
        <w:rPr>
          <w:rFonts w:ascii="Arial" w:hAnsi="Arial" w:cs="Arial"/>
          <w:sz w:val="20"/>
          <w:szCs w:val="20"/>
          <w:lang w:val="en-AU"/>
        </w:rPr>
        <w:t xml:space="preserve"> FK, Smith-Warner SA, </w:t>
      </w:r>
      <w:proofErr w:type="spellStart"/>
      <w:r w:rsidRPr="0000104F">
        <w:rPr>
          <w:rFonts w:ascii="Arial" w:hAnsi="Arial" w:cs="Arial"/>
          <w:sz w:val="20"/>
          <w:szCs w:val="20"/>
          <w:lang w:val="en-AU"/>
        </w:rPr>
        <w:t>Chavarro</w:t>
      </w:r>
      <w:proofErr w:type="spellEnd"/>
      <w:r w:rsidRPr="0000104F">
        <w:rPr>
          <w:rFonts w:ascii="Arial" w:hAnsi="Arial" w:cs="Arial"/>
          <w:sz w:val="20"/>
          <w:szCs w:val="20"/>
          <w:lang w:val="en-AU"/>
        </w:rPr>
        <w:t xml:space="preserve"> JE, et al. Development and validation of an empirical dietary inflammatory index. </w:t>
      </w:r>
      <w:r w:rsidRPr="0000104F">
        <w:rPr>
          <w:rFonts w:ascii="Arial" w:hAnsi="Arial" w:cs="Arial"/>
          <w:i/>
          <w:iCs/>
          <w:sz w:val="20"/>
          <w:szCs w:val="20"/>
          <w:lang w:val="en-AU"/>
        </w:rPr>
        <w:t xml:space="preserve">J. </w:t>
      </w:r>
      <w:proofErr w:type="spellStart"/>
      <w:r w:rsidRPr="0000104F">
        <w:rPr>
          <w:rFonts w:ascii="Arial" w:hAnsi="Arial" w:cs="Arial"/>
          <w:i/>
          <w:iCs/>
          <w:sz w:val="20"/>
          <w:szCs w:val="20"/>
          <w:lang w:val="en-AU"/>
        </w:rPr>
        <w:t>Nutr</w:t>
      </w:r>
      <w:proofErr w:type="spellEnd"/>
      <w:r w:rsidRPr="0000104F">
        <w:rPr>
          <w:rFonts w:ascii="Arial" w:hAnsi="Arial" w:cs="Arial"/>
          <w:i/>
          <w:iCs/>
          <w:sz w:val="20"/>
          <w:szCs w:val="20"/>
          <w:lang w:val="en-AU"/>
        </w:rPr>
        <w:t xml:space="preserve">. </w:t>
      </w:r>
      <w:r w:rsidRPr="0000104F">
        <w:rPr>
          <w:rFonts w:ascii="Arial" w:hAnsi="Arial" w:cs="Arial"/>
          <w:sz w:val="20"/>
          <w:szCs w:val="20"/>
          <w:lang w:val="en-AU"/>
        </w:rPr>
        <w:t xml:space="preserve">2016;146(8):1560. </w:t>
      </w:r>
      <w:r w:rsidR="00AA4E1B" w:rsidRPr="0000104F">
        <w:rPr>
          <w:rFonts w:ascii="Arial" w:hAnsi="Arial" w:cs="Arial"/>
          <w:sz w:val="20"/>
          <w:szCs w:val="20"/>
        </w:rPr>
        <w:t xml:space="preserve">  </w:t>
      </w:r>
      <w:bookmarkStart w:id="0" w:name="_Ref33531231"/>
      <w:bookmarkStart w:id="1" w:name="_Ref14434173"/>
      <w:bookmarkStart w:id="2" w:name="_Ref4510051"/>
    </w:p>
    <w:p w14:paraId="486CBF84" w14:textId="13BDDE6C" w:rsidR="00AA4E1B" w:rsidRPr="0000104F" w:rsidRDefault="00AA4E1B" w:rsidP="003D2697">
      <w:pPr>
        <w:rPr>
          <w:rFonts w:ascii="Arial" w:hAnsi="Arial" w:cs="Arial"/>
          <w:b/>
          <w:szCs w:val="24"/>
        </w:rPr>
      </w:pPr>
      <w:r w:rsidRPr="0000104F">
        <w:rPr>
          <w:rFonts w:ascii="Arial" w:hAnsi="Arial" w:cs="Arial"/>
          <w:b/>
          <w:szCs w:val="24"/>
        </w:rPr>
        <w:lastRenderedPageBreak/>
        <w:t xml:space="preserve">Supplemental Table </w:t>
      </w:r>
      <w:r w:rsidR="00DC48B7">
        <w:rPr>
          <w:rFonts w:ascii="Arial" w:hAnsi="Arial" w:cs="Arial"/>
          <w:b/>
          <w:szCs w:val="24"/>
        </w:rPr>
        <w:t>1</w:t>
      </w:r>
      <w:r w:rsidR="00DC48B7" w:rsidRPr="0000104F">
        <w:rPr>
          <w:rFonts w:ascii="Arial" w:hAnsi="Arial" w:cs="Arial"/>
          <w:b/>
          <w:szCs w:val="24"/>
        </w:rPr>
        <w:t xml:space="preserve"> </w:t>
      </w:r>
      <w:r w:rsidRPr="0000104F">
        <w:rPr>
          <w:rFonts w:ascii="Arial" w:hAnsi="Arial" w:cs="Arial"/>
          <w:b/>
          <w:szCs w:val="24"/>
        </w:rPr>
        <w:t xml:space="preserve">Person and tumour-based incidence of </w:t>
      </w:r>
      <w:r w:rsidR="009922D2">
        <w:rPr>
          <w:rFonts w:ascii="Arial" w:hAnsi="Arial" w:cs="Arial"/>
          <w:b/>
          <w:szCs w:val="24"/>
        </w:rPr>
        <w:t>S</w:t>
      </w:r>
      <w:r w:rsidRPr="0000104F">
        <w:rPr>
          <w:rFonts w:ascii="Arial" w:hAnsi="Arial" w:cs="Arial"/>
          <w:b/>
          <w:szCs w:val="24"/>
        </w:rPr>
        <w:t xml:space="preserve">CC and </w:t>
      </w:r>
      <w:r w:rsidR="009922D2">
        <w:rPr>
          <w:rFonts w:ascii="Arial" w:hAnsi="Arial" w:cs="Arial"/>
          <w:b/>
          <w:szCs w:val="24"/>
        </w:rPr>
        <w:t>B</w:t>
      </w:r>
      <w:r w:rsidRPr="0000104F">
        <w:rPr>
          <w:rFonts w:ascii="Arial" w:hAnsi="Arial" w:cs="Arial"/>
          <w:b/>
          <w:szCs w:val="24"/>
        </w:rPr>
        <w:t>CC (N=260)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4900"/>
      </w:tblGrid>
      <w:tr w:rsidR="00AA4E1B" w:rsidRPr="0000104F" w14:paraId="0CB07522" w14:textId="77777777" w:rsidTr="00FC6DF3">
        <w:tc>
          <w:tcPr>
            <w:tcW w:w="2284" w:type="pct"/>
            <w:tcBorders>
              <w:top w:val="single" w:sz="4" w:space="0" w:color="auto"/>
              <w:bottom w:val="single" w:sz="4" w:space="0" w:color="auto"/>
            </w:tcBorders>
          </w:tcPr>
          <w:p w14:paraId="0EFBF5CF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Yu Mincho" w:hAnsi="Arial" w:cs="Arial"/>
                <w:b/>
                <w:sz w:val="24"/>
                <w:szCs w:val="24"/>
                <w:lang w:eastAsia="ja-JP"/>
              </w:rPr>
            </w:pPr>
            <w:r w:rsidRPr="0000104F">
              <w:rPr>
                <w:rFonts w:ascii="Arial" w:eastAsia="Yu Mincho" w:hAnsi="Arial" w:cs="Arial"/>
                <w:b/>
                <w:sz w:val="24"/>
                <w:szCs w:val="24"/>
                <w:lang w:eastAsia="ja-JP"/>
              </w:rPr>
              <w:t xml:space="preserve">SCC </w:t>
            </w:r>
          </w:p>
        </w:tc>
        <w:tc>
          <w:tcPr>
            <w:tcW w:w="2716" w:type="pct"/>
            <w:tcBorders>
              <w:top w:val="single" w:sz="4" w:space="0" w:color="auto"/>
              <w:bottom w:val="single" w:sz="4" w:space="0" w:color="auto"/>
            </w:tcBorders>
          </w:tcPr>
          <w:p w14:paraId="7311CB48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E1B" w:rsidRPr="0000104F" w14:paraId="7B8D9D8A" w14:textId="77777777" w:rsidTr="00FC6DF3">
        <w:tc>
          <w:tcPr>
            <w:tcW w:w="2284" w:type="pct"/>
            <w:tcBorders>
              <w:top w:val="single" w:sz="4" w:space="0" w:color="auto"/>
            </w:tcBorders>
          </w:tcPr>
          <w:p w14:paraId="688A4316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Yu Mincho" w:hAnsi="Arial" w:cs="Arial"/>
                <w:sz w:val="24"/>
                <w:szCs w:val="24"/>
                <w:lang w:eastAsia="ja-JP"/>
              </w:rPr>
            </w:pPr>
            <w:r w:rsidRPr="0000104F">
              <w:rPr>
                <w:rFonts w:ascii="Arial" w:eastAsia="Yu Mincho" w:hAnsi="Arial" w:cs="Arial"/>
                <w:sz w:val="24"/>
                <w:szCs w:val="24"/>
                <w:lang w:eastAsia="ja-JP"/>
              </w:rPr>
              <w:t>Persons affected by new SCC</w:t>
            </w:r>
            <w:r w:rsidRPr="0000104F">
              <w:rPr>
                <w:rFonts w:ascii="Arial" w:eastAsia="Yu Mincho" w:hAnsi="Arial" w:cs="Arial"/>
                <w:sz w:val="24"/>
                <w:szCs w:val="24"/>
                <w:vertAlign w:val="superscript"/>
                <w:lang w:eastAsia="ja-JP"/>
              </w:rPr>
              <w:t xml:space="preserve"> a</w:t>
            </w:r>
          </w:p>
        </w:tc>
        <w:tc>
          <w:tcPr>
            <w:tcW w:w="2716" w:type="pct"/>
            <w:tcBorders>
              <w:top w:val="single" w:sz="4" w:space="0" w:color="auto"/>
            </w:tcBorders>
          </w:tcPr>
          <w:p w14:paraId="1B3C8381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1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(38%)</w:t>
            </w:r>
          </w:p>
        </w:tc>
      </w:tr>
      <w:tr w:rsidR="00AA4E1B" w:rsidRPr="0000104F" w14:paraId="7E008B2C" w14:textId="77777777" w:rsidTr="00FC6DF3">
        <w:tc>
          <w:tcPr>
            <w:tcW w:w="2284" w:type="pct"/>
          </w:tcPr>
          <w:p w14:paraId="02E1A163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Yu Mincho" w:hAnsi="Arial" w:cs="Arial"/>
                <w:sz w:val="24"/>
                <w:szCs w:val="24"/>
                <w:lang w:eastAsia="ja-JP"/>
              </w:rPr>
            </w:pPr>
            <w:r w:rsidRPr="0000104F">
              <w:rPr>
                <w:rFonts w:ascii="Arial" w:eastAsia="Yu Mincho" w:hAnsi="Arial" w:cs="Arial"/>
                <w:sz w:val="24"/>
                <w:szCs w:val="24"/>
                <w:lang w:eastAsia="ja-JP"/>
              </w:rPr>
              <w:t>Person-based incidence per 1,000 person-years</w:t>
            </w:r>
          </w:p>
        </w:tc>
        <w:tc>
          <w:tcPr>
            <w:tcW w:w="2716" w:type="pct"/>
          </w:tcPr>
          <w:p w14:paraId="24F8F5F5" w14:textId="6BE1901A" w:rsidR="00AA4E1B" w:rsidRPr="0000104F" w:rsidRDefault="002E355D" w:rsidP="003D2697">
            <w:pPr>
              <w:pStyle w:val="table2"/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1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</w:t>
            </w:r>
          </w:p>
        </w:tc>
      </w:tr>
      <w:tr w:rsidR="00AA4E1B" w:rsidRPr="0000104F" w14:paraId="2C11EF48" w14:textId="77777777" w:rsidTr="00FC6DF3">
        <w:tc>
          <w:tcPr>
            <w:tcW w:w="2284" w:type="pct"/>
          </w:tcPr>
          <w:p w14:paraId="75E81FA7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Yu Mincho" w:hAnsi="Arial" w:cs="Arial"/>
                <w:sz w:val="24"/>
                <w:szCs w:val="24"/>
                <w:lang w:eastAsia="ja-JP"/>
              </w:rPr>
            </w:pPr>
            <w:r w:rsidRPr="0000104F">
              <w:rPr>
                <w:rFonts w:ascii="Arial" w:hAnsi="Arial" w:cs="Arial"/>
                <w:sz w:val="24"/>
                <w:szCs w:val="24"/>
                <w:lang w:eastAsia="ja-JP"/>
              </w:rPr>
              <w:t>Sum of tumours developed in follow-up period</w:t>
            </w:r>
          </w:p>
        </w:tc>
        <w:tc>
          <w:tcPr>
            <w:tcW w:w="2716" w:type="pct"/>
          </w:tcPr>
          <w:p w14:paraId="65132F7E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 xml:space="preserve">426 </w:t>
            </w:r>
          </w:p>
        </w:tc>
      </w:tr>
      <w:tr w:rsidR="00AA4E1B" w:rsidRPr="0000104F" w14:paraId="61508512" w14:textId="77777777" w:rsidTr="00FC6DF3">
        <w:tc>
          <w:tcPr>
            <w:tcW w:w="2284" w:type="pct"/>
          </w:tcPr>
          <w:p w14:paraId="47157652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  <w:lang w:eastAsia="ja-JP"/>
              </w:rPr>
            </w:pPr>
            <w:r w:rsidRPr="0000104F">
              <w:rPr>
                <w:rFonts w:ascii="Arial" w:eastAsia="Yu Mincho" w:hAnsi="Arial" w:cs="Arial"/>
                <w:sz w:val="24"/>
                <w:szCs w:val="24"/>
                <w:lang w:eastAsia="ja-JP"/>
              </w:rPr>
              <w:t>Median tumours developed per person (min, max)</w:t>
            </w:r>
          </w:p>
        </w:tc>
        <w:tc>
          <w:tcPr>
            <w:tcW w:w="2716" w:type="pct"/>
          </w:tcPr>
          <w:p w14:paraId="1D69077A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0 (0, 40)</w:t>
            </w:r>
          </w:p>
        </w:tc>
      </w:tr>
      <w:tr w:rsidR="00AA4E1B" w:rsidRPr="0000104F" w14:paraId="045808ED" w14:textId="77777777" w:rsidTr="00FC6DF3">
        <w:tc>
          <w:tcPr>
            <w:tcW w:w="2284" w:type="pct"/>
          </w:tcPr>
          <w:p w14:paraId="690DF4C1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Yu Mincho" w:hAnsi="Arial" w:cs="Arial"/>
                <w:sz w:val="24"/>
                <w:szCs w:val="24"/>
                <w:lang w:eastAsia="ja-JP"/>
              </w:rPr>
            </w:pPr>
            <w:r w:rsidRPr="0000104F">
              <w:rPr>
                <w:rFonts w:ascii="Arial" w:eastAsia="Yu Mincho" w:hAnsi="Arial" w:cs="Arial"/>
                <w:sz w:val="24"/>
                <w:szCs w:val="24"/>
                <w:lang w:eastAsia="ja-JP"/>
              </w:rPr>
              <w:t>Tumour-based incidence per 1,000 person-years</w:t>
            </w:r>
          </w:p>
        </w:tc>
        <w:tc>
          <w:tcPr>
            <w:tcW w:w="2716" w:type="pct"/>
          </w:tcPr>
          <w:p w14:paraId="57737B8F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1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533</w:t>
            </w:r>
          </w:p>
        </w:tc>
      </w:tr>
      <w:tr w:rsidR="00AA4E1B" w:rsidRPr="0000104F" w14:paraId="2354AE9E" w14:textId="77777777" w:rsidTr="00FC6DF3">
        <w:tc>
          <w:tcPr>
            <w:tcW w:w="2284" w:type="pct"/>
            <w:tcBorders>
              <w:bottom w:val="single" w:sz="4" w:space="0" w:color="auto"/>
            </w:tcBorders>
          </w:tcPr>
          <w:p w14:paraId="405B15C2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Yu Mincho" w:hAnsi="Arial" w:cs="Arial"/>
                <w:b/>
                <w:sz w:val="24"/>
                <w:szCs w:val="24"/>
                <w:lang w:eastAsia="ja-JP"/>
              </w:rPr>
            </w:pPr>
            <w:r w:rsidRPr="0000104F">
              <w:rPr>
                <w:rFonts w:ascii="Arial" w:eastAsia="Yu Mincho" w:hAnsi="Arial" w:cs="Arial"/>
                <w:b/>
                <w:sz w:val="24"/>
                <w:szCs w:val="24"/>
                <w:lang w:eastAsia="ja-JP"/>
              </w:rPr>
              <w:t xml:space="preserve">BCC </w:t>
            </w:r>
          </w:p>
        </w:tc>
        <w:tc>
          <w:tcPr>
            <w:tcW w:w="2716" w:type="pct"/>
            <w:tcBorders>
              <w:bottom w:val="single" w:sz="4" w:space="0" w:color="auto"/>
            </w:tcBorders>
          </w:tcPr>
          <w:p w14:paraId="015E8D05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E1B" w:rsidRPr="0000104F" w14:paraId="1B372381" w14:textId="77777777" w:rsidTr="00FC6DF3">
        <w:tc>
          <w:tcPr>
            <w:tcW w:w="2284" w:type="pct"/>
            <w:tcBorders>
              <w:top w:val="single" w:sz="4" w:space="0" w:color="auto"/>
            </w:tcBorders>
          </w:tcPr>
          <w:p w14:paraId="02BBA6EA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Yu Mincho" w:hAnsi="Arial" w:cs="Arial"/>
                <w:sz w:val="24"/>
                <w:szCs w:val="24"/>
                <w:lang w:eastAsia="ja-JP"/>
              </w:rPr>
            </w:pPr>
            <w:r w:rsidRPr="0000104F">
              <w:rPr>
                <w:rFonts w:ascii="Arial" w:eastAsia="Yu Mincho" w:hAnsi="Arial" w:cs="Arial"/>
                <w:sz w:val="24"/>
                <w:szCs w:val="24"/>
                <w:lang w:eastAsia="ja-JP"/>
              </w:rPr>
              <w:t>Persons affected by new BCC</w:t>
            </w:r>
            <w:r w:rsidRPr="0000104F">
              <w:rPr>
                <w:rFonts w:ascii="Arial" w:eastAsia="Yu Mincho" w:hAnsi="Arial" w:cs="Arial"/>
                <w:sz w:val="24"/>
                <w:szCs w:val="24"/>
                <w:vertAlign w:val="superscript"/>
                <w:lang w:eastAsia="ja-JP"/>
              </w:rPr>
              <w:t xml:space="preserve"> a</w:t>
            </w:r>
          </w:p>
        </w:tc>
        <w:tc>
          <w:tcPr>
            <w:tcW w:w="2716" w:type="pct"/>
            <w:tcBorders>
              <w:top w:val="single" w:sz="4" w:space="0" w:color="auto"/>
            </w:tcBorders>
          </w:tcPr>
          <w:p w14:paraId="73FF10DF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1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 (36%)</w:t>
            </w:r>
          </w:p>
        </w:tc>
      </w:tr>
      <w:tr w:rsidR="00AA4E1B" w:rsidRPr="0000104F" w14:paraId="089464E2" w14:textId="77777777" w:rsidTr="00FC6DF3">
        <w:tc>
          <w:tcPr>
            <w:tcW w:w="2284" w:type="pct"/>
          </w:tcPr>
          <w:p w14:paraId="2D59CEA0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Yu Mincho" w:hAnsi="Arial" w:cs="Arial"/>
                <w:sz w:val="24"/>
                <w:szCs w:val="24"/>
                <w:lang w:eastAsia="ja-JP"/>
              </w:rPr>
            </w:pPr>
            <w:r w:rsidRPr="0000104F">
              <w:rPr>
                <w:rFonts w:ascii="Arial" w:eastAsia="Yu Mincho" w:hAnsi="Arial" w:cs="Arial"/>
                <w:sz w:val="24"/>
                <w:szCs w:val="24"/>
                <w:lang w:eastAsia="ja-JP"/>
              </w:rPr>
              <w:t>Person-based incidence per 1,000 person-years</w:t>
            </w:r>
          </w:p>
        </w:tc>
        <w:tc>
          <w:tcPr>
            <w:tcW w:w="2716" w:type="pct"/>
          </w:tcPr>
          <w:p w14:paraId="6958A3E5" w14:textId="36E3DA67" w:rsidR="00AA4E1B" w:rsidRPr="0000104F" w:rsidRDefault="002E355D" w:rsidP="003D2697">
            <w:pPr>
              <w:pStyle w:val="table2"/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1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</w:t>
            </w:r>
          </w:p>
        </w:tc>
      </w:tr>
      <w:tr w:rsidR="00AA4E1B" w:rsidRPr="0000104F" w14:paraId="17954D77" w14:textId="77777777" w:rsidTr="00FC6DF3">
        <w:tc>
          <w:tcPr>
            <w:tcW w:w="2284" w:type="pct"/>
          </w:tcPr>
          <w:p w14:paraId="3FEED9AA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Yu Mincho" w:hAnsi="Arial" w:cs="Arial"/>
                <w:sz w:val="24"/>
                <w:szCs w:val="24"/>
                <w:lang w:eastAsia="ja-JP"/>
              </w:rPr>
            </w:pPr>
            <w:r w:rsidRPr="0000104F">
              <w:rPr>
                <w:rFonts w:ascii="Arial" w:hAnsi="Arial" w:cs="Arial"/>
                <w:sz w:val="24"/>
                <w:szCs w:val="24"/>
                <w:lang w:eastAsia="ja-JP"/>
              </w:rPr>
              <w:t>Sum of tumours developed in follow-up period</w:t>
            </w:r>
          </w:p>
        </w:tc>
        <w:tc>
          <w:tcPr>
            <w:tcW w:w="2716" w:type="pct"/>
          </w:tcPr>
          <w:p w14:paraId="49212500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 xml:space="preserve">343 </w:t>
            </w:r>
          </w:p>
        </w:tc>
      </w:tr>
      <w:tr w:rsidR="00AA4E1B" w:rsidRPr="0000104F" w14:paraId="2533A0E6" w14:textId="77777777" w:rsidTr="00FC6DF3">
        <w:tc>
          <w:tcPr>
            <w:tcW w:w="2284" w:type="pct"/>
          </w:tcPr>
          <w:p w14:paraId="55C98740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  <w:lang w:eastAsia="ja-JP"/>
              </w:rPr>
            </w:pPr>
            <w:r w:rsidRPr="0000104F">
              <w:rPr>
                <w:rFonts w:ascii="Arial" w:eastAsia="Yu Mincho" w:hAnsi="Arial" w:cs="Arial"/>
                <w:sz w:val="24"/>
                <w:szCs w:val="24"/>
                <w:lang w:eastAsia="ja-JP"/>
              </w:rPr>
              <w:t>Median tumours developed per person (min, max)</w:t>
            </w:r>
          </w:p>
        </w:tc>
        <w:tc>
          <w:tcPr>
            <w:tcW w:w="2716" w:type="pct"/>
          </w:tcPr>
          <w:p w14:paraId="2F5684DB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0 (0, 22)</w:t>
            </w:r>
          </w:p>
        </w:tc>
      </w:tr>
      <w:tr w:rsidR="00AA4E1B" w:rsidRPr="0000104F" w14:paraId="4FBF4CA6" w14:textId="77777777" w:rsidTr="00FC6DF3">
        <w:tc>
          <w:tcPr>
            <w:tcW w:w="2284" w:type="pct"/>
            <w:tcBorders>
              <w:bottom w:val="single" w:sz="4" w:space="0" w:color="auto"/>
            </w:tcBorders>
          </w:tcPr>
          <w:p w14:paraId="48B05B24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Yu Mincho" w:hAnsi="Arial" w:cs="Arial"/>
                <w:sz w:val="24"/>
                <w:szCs w:val="24"/>
                <w:lang w:eastAsia="ja-JP"/>
              </w:rPr>
            </w:pPr>
            <w:r w:rsidRPr="0000104F">
              <w:rPr>
                <w:rFonts w:ascii="Arial" w:eastAsia="Yu Mincho" w:hAnsi="Arial" w:cs="Arial"/>
                <w:sz w:val="24"/>
                <w:szCs w:val="24"/>
                <w:lang w:eastAsia="ja-JP"/>
              </w:rPr>
              <w:lastRenderedPageBreak/>
              <w:t>Tumour-based incidence per 1,000 person-years</w:t>
            </w:r>
          </w:p>
        </w:tc>
        <w:tc>
          <w:tcPr>
            <w:tcW w:w="2716" w:type="pct"/>
            <w:tcBorders>
              <w:bottom w:val="single" w:sz="4" w:space="0" w:color="auto"/>
            </w:tcBorders>
          </w:tcPr>
          <w:p w14:paraId="30A547C6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</w:tr>
    </w:tbl>
    <w:p w14:paraId="78EC4E59" w14:textId="77777777" w:rsidR="00AA4E1B" w:rsidRPr="0000104F" w:rsidRDefault="00AA4E1B" w:rsidP="003D2697">
      <w:pPr>
        <w:pStyle w:val="table2"/>
        <w:spacing w:line="480" w:lineRule="auto"/>
        <w:rPr>
          <w:rFonts w:ascii="Arial" w:hAnsi="Arial" w:cs="Arial"/>
          <w:sz w:val="24"/>
          <w:szCs w:val="24"/>
          <w:vertAlign w:val="superscript"/>
          <w:lang w:eastAsia="ja-JP"/>
        </w:rPr>
      </w:pPr>
      <w:r w:rsidRPr="0000104F">
        <w:rPr>
          <w:rFonts w:ascii="Arial" w:hAnsi="Arial" w:cs="Arial"/>
          <w:sz w:val="24"/>
          <w:szCs w:val="24"/>
        </w:rPr>
        <w:t>BCC: basal cell carcinoma; SCC: squamous cell carcinoma</w:t>
      </w:r>
    </w:p>
    <w:p w14:paraId="1C86A891" w14:textId="77777777" w:rsidR="00AA4E1B" w:rsidRPr="0000104F" w:rsidRDefault="00AA4E1B" w:rsidP="003D2697">
      <w:pPr>
        <w:pStyle w:val="table2"/>
        <w:spacing w:line="480" w:lineRule="auto"/>
        <w:rPr>
          <w:rFonts w:ascii="Arial" w:hAnsi="Arial" w:cs="Arial"/>
          <w:sz w:val="24"/>
          <w:szCs w:val="24"/>
          <w:lang w:eastAsia="ja-JP"/>
        </w:rPr>
      </w:pPr>
      <w:r w:rsidRPr="0000104F">
        <w:rPr>
          <w:rFonts w:ascii="Arial" w:hAnsi="Arial" w:cs="Arial"/>
          <w:sz w:val="24"/>
          <w:szCs w:val="24"/>
          <w:vertAlign w:val="superscript"/>
          <w:lang w:eastAsia="ja-JP"/>
        </w:rPr>
        <w:t xml:space="preserve">a </w:t>
      </w:r>
      <w:r w:rsidRPr="0000104F">
        <w:rPr>
          <w:rFonts w:ascii="Arial" w:hAnsi="Arial" w:cs="Arial"/>
          <w:sz w:val="24"/>
          <w:szCs w:val="24"/>
          <w:lang w:eastAsia="ja-JP"/>
        </w:rPr>
        <w:t>Number of patients who developed at least one keratinocyte cancer in the follow-up period</w:t>
      </w:r>
    </w:p>
    <w:p w14:paraId="3BE8AC2B" w14:textId="16B24607" w:rsidR="00AA4E1B" w:rsidRPr="00A708EE" w:rsidRDefault="00AA4E1B" w:rsidP="00A708EE">
      <w:pPr>
        <w:rPr>
          <w:rFonts w:ascii="Arial" w:hAnsi="Arial" w:cs="Arial"/>
          <w:b/>
        </w:rPr>
        <w:sectPr w:rsidR="00AA4E1B" w:rsidRPr="00A708EE" w:rsidSect="00A708EE">
          <w:headerReference w:type="default" r:id="rId8"/>
          <w:footerReference w:type="default" r:id="rId9"/>
          <w:pgSz w:w="11900" w:h="16840"/>
          <w:pgMar w:top="1440" w:right="1440" w:bottom="1440" w:left="1440" w:header="708" w:footer="708" w:gutter="0"/>
          <w:lnNumType w:countBy="1" w:restart="continuous"/>
          <w:cols w:space="708"/>
          <w:docGrid w:linePitch="400"/>
        </w:sectPr>
      </w:pPr>
      <w:bookmarkStart w:id="3" w:name="_Ref14434201"/>
      <w:bookmarkEnd w:id="0"/>
      <w:bookmarkEnd w:id="1"/>
    </w:p>
    <w:p w14:paraId="6821CD27" w14:textId="522473E0" w:rsidR="00AA4E1B" w:rsidRPr="0000104F" w:rsidRDefault="00AA4E1B" w:rsidP="003D2697">
      <w:pPr>
        <w:pStyle w:val="Caption"/>
        <w:keepNext/>
        <w:spacing w:line="480" w:lineRule="auto"/>
        <w:rPr>
          <w:rFonts w:ascii="Arial" w:hAnsi="Arial" w:cs="Arial"/>
          <w:color w:val="auto"/>
          <w:sz w:val="24"/>
          <w:szCs w:val="24"/>
        </w:rPr>
      </w:pPr>
      <w:r w:rsidRPr="0000104F">
        <w:rPr>
          <w:rFonts w:ascii="Arial" w:hAnsi="Arial" w:cs="Arial"/>
          <w:color w:val="auto"/>
          <w:sz w:val="24"/>
          <w:szCs w:val="24"/>
        </w:rPr>
        <w:lastRenderedPageBreak/>
        <w:t xml:space="preserve">Supplemental Table </w:t>
      </w:r>
      <w:bookmarkEnd w:id="2"/>
      <w:bookmarkEnd w:id="3"/>
      <w:r w:rsidR="00DC48B7">
        <w:rPr>
          <w:rFonts w:ascii="Arial" w:hAnsi="Arial" w:cs="Arial"/>
          <w:color w:val="auto"/>
          <w:sz w:val="24"/>
          <w:szCs w:val="24"/>
        </w:rPr>
        <w:t>2</w:t>
      </w:r>
      <w:r w:rsidRPr="0000104F">
        <w:rPr>
          <w:rFonts w:ascii="Arial" w:hAnsi="Arial" w:cs="Arial"/>
          <w:color w:val="auto"/>
          <w:sz w:val="24"/>
          <w:szCs w:val="24"/>
        </w:rPr>
        <w:t xml:space="preserve"> Modified Empirical Dietary Inflammatory Pattern Score and risk of person-based SCC and BCC in renal transplant recipients (N=260)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3110"/>
        <w:gridCol w:w="2632"/>
      </w:tblGrid>
      <w:tr w:rsidR="00AA4E1B" w:rsidRPr="0000104F" w14:paraId="6CAB6FF2" w14:textId="77777777" w:rsidTr="00C8230C">
        <w:tc>
          <w:tcPr>
            <w:tcW w:w="1817" w:type="pct"/>
            <w:tcBorders>
              <w:top w:val="single" w:sz="4" w:space="0" w:color="auto"/>
            </w:tcBorders>
          </w:tcPr>
          <w:p w14:paraId="648DB636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3" w:type="pct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2B942064" w14:textId="77777777" w:rsidR="00AA4E1B" w:rsidRPr="0000104F" w:rsidRDefault="00AA4E1B" w:rsidP="003D2697">
            <w:pPr>
              <w:pStyle w:val="table2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04F">
              <w:rPr>
                <w:rFonts w:ascii="Arial" w:hAnsi="Arial" w:cs="Arial"/>
                <w:b/>
                <w:sz w:val="24"/>
                <w:szCs w:val="24"/>
              </w:rPr>
              <w:t>Relative Risk (95% CI)</w:t>
            </w:r>
          </w:p>
        </w:tc>
      </w:tr>
      <w:tr w:rsidR="00AA4E1B" w:rsidRPr="0000104F" w14:paraId="7FDBAB37" w14:textId="77777777" w:rsidTr="00C8230C">
        <w:tc>
          <w:tcPr>
            <w:tcW w:w="1817" w:type="pct"/>
          </w:tcPr>
          <w:p w14:paraId="07F28C08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04F">
              <w:rPr>
                <w:rFonts w:ascii="Arial" w:hAnsi="Arial" w:cs="Arial"/>
                <w:b/>
                <w:sz w:val="24"/>
                <w:szCs w:val="24"/>
              </w:rPr>
              <w:t>Modified-EDIP</w:t>
            </w:r>
          </w:p>
        </w:tc>
        <w:tc>
          <w:tcPr>
            <w:tcW w:w="1724" w:type="pct"/>
            <w:tcBorders>
              <w:top w:val="single" w:sz="4" w:space="0" w:color="000000"/>
              <w:bottom w:val="single" w:sz="4" w:space="0" w:color="000000"/>
            </w:tcBorders>
          </w:tcPr>
          <w:p w14:paraId="7EF2BEC8" w14:textId="77777777" w:rsidR="00AA4E1B" w:rsidRPr="0000104F" w:rsidRDefault="00AA4E1B" w:rsidP="003D2697">
            <w:pPr>
              <w:pStyle w:val="table2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04F">
              <w:rPr>
                <w:rFonts w:ascii="Arial" w:hAnsi="Arial" w:cs="Arial"/>
                <w:b/>
                <w:sz w:val="24"/>
                <w:szCs w:val="24"/>
              </w:rPr>
              <w:t>SCC</w:t>
            </w:r>
          </w:p>
        </w:tc>
        <w:tc>
          <w:tcPr>
            <w:tcW w:w="1459" w:type="pct"/>
            <w:tcBorders>
              <w:top w:val="single" w:sz="4" w:space="0" w:color="000000"/>
              <w:bottom w:val="single" w:sz="4" w:space="0" w:color="000000"/>
            </w:tcBorders>
          </w:tcPr>
          <w:p w14:paraId="418E017B" w14:textId="77777777" w:rsidR="00AA4E1B" w:rsidRPr="0000104F" w:rsidRDefault="00AA4E1B" w:rsidP="003D2697">
            <w:pPr>
              <w:pStyle w:val="table2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04F">
              <w:rPr>
                <w:rFonts w:ascii="Arial" w:hAnsi="Arial" w:cs="Arial"/>
                <w:b/>
                <w:sz w:val="24"/>
                <w:szCs w:val="24"/>
              </w:rPr>
              <w:t>BCC</w:t>
            </w:r>
          </w:p>
        </w:tc>
      </w:tr>
      <w:tr w:rsidR="00AA4E1B" w:rsidRPr="0000104F" w14:paraId="1EE7B65F" w14:textId="77777777" w:rsidTr="00C8230C">
        <w:tc>
          <w:tcPr>
            <w:tcW w:w="1817" w:type="pct"/>
          </w:tcPr>
          <w:p w14:paraId="29444D86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83" w:type="pct"/>
            <w:gridSpan w:val="2"/>
            <w:tcBorders>
              <w:top w:val="single" w:sz="4" w:space="0" w:color="000000"/>
            </w:tcBorders>
          </w:tcPr>
          <w:p w14:paraId="3C5EE0ED" w14:textId="77777777" w:rsidR="00AA4E1B" w:rsidRPr="0000104F" w:rsidRDefault="00AA4E1B" w:rsidP="003D2697">
            <w:pPr>
              <w:pStyle w:val="table2"/>
              <w:spacing w:line="48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A4E1B" w:rsidRPr="0000104F" w14:paraId="317CF75E" w14:textId="77777777" w:rsidTr="00C8230C">
        <w:tc>
          <w:tcPr>
            <w:tcW w:w="1817" w:type="pct"/>
          </w:tcPr>
          <w:p w14:paraId="3A4C1EEC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b/>
                <w:sz w:val="24"/>
                <w:szCs w:val="24"/>
              </w:rPr>
              <w:t>Base Model</w:t>
            </w:r>
            <w:r w:rsidRPr="0000104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724" w:type="pct"/>
          </w:tcPr>
          <w:p w14:paraId="154B175B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59" w:type="pct"/>
          </w:tcPr>
          <w:p w14:paraId="7CCBCCCE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E1B" w:rsidRPr="0000104F" w14:paraId="686DAF2F" w14:textId="77777777" w:rsidTr="00C8230C">
        <w:tc>
          <w:tcPr>
            <w:tcW w:w="1817" w:type="pct"/>
          </w:tcPr>
          <w:p w14:paraId="222AA6CB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Low (n=78)</w:t>
            </w:r>
          </w:p>
        </w:tc>
        <w:tc>
          <w:tcPr>
            <w:tcW w:w="1724" w:type="pct"/>
          </w:tcPr>
          <w:p w14:paraId="594D84D3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1.00 (reference)</w:t>
            </w:r>
          </w:p>
        </w:tc>
        <w:tc>
          <w:tcPr>
            <w:tcW w:w="1459" w:type="pct"/>
          </w:tcPr>
          <w:p w14:paraId="0DED6CA5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1.00 (reference)</w:t>
            </w:r>
          </w:p>
        </w:tc>
      </w:tr>
      <w:tr w:rsidR="00AA4E1B" w:rsidRPr="0000104F" w14:paraId="6A46738A" w14:textId="77777777" w:rsidTr="00C8230C">
        <w:tc>
          <w:tcPr>
            <w:tcW w:w="1817" w:type="pct"/>
          </w:tcPr>
          <w:p w14:paraId="52E69596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Intermediate (n=78)</w:t>
            </w:r>
          </w:p>
        </w:tc>
        <w:tc>
          <w:tcPr>
            <w:tcW w:w="1724" w:type="pct"/>
          </w:tcPr>
          <w:p w14:paraId="73056A77" w14:textId="4D870113" w:rsidR="00AA4E1B" w:rsidRPr="0000104F" w:rsidRDefault="00845F39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845F39">
              <w:rPr>
                <w:rFonts w:ascii="Arial" w:hAnsi="Arial" w:cs="Arial"/>
                <w:sz w:val="24"/>
                <w:szCs w:val="24"/>
              </w:rPr>
              <w:t>1.2</w:t>
            </w:r>
            <w:r>
              <w:rPr>
                <w:rFonts w:ascii="Arial" w:hAnsi="Arial" w:cs="Arial"/>
                <w:sz w:val="24"/>
                <w:szCs w:val="24"/>
              </w:rPr>
              <w:t>4 (</w:t>
            </w:r>
            <w:r w:rsidRPr="00845F39">
              <w:rPr>
                <w:rFonts w:ascii="Arial" w:hAnsi="Arial" w:cs="Arial"/>
                <w:sz w:val="24"/>
                <w:szCs w:val="24"/>
              </w:rPr>
              <w:t>0.72</w:t>
            </w:r>
            <w:r w:rsidRPr="0000104F">
              <w:rPr>
                <w:rFonts w:ascii="Arial" w:hAnsi="Arial" w:cs="Arial"/>
                <w:sz w:val="24"/>
                <w:szCs w:val="24"/>
              </w:rPr>
              <w:t>–</w:t>
            </w:r>
            <w:r w:rsidRPr="00845F39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459" w:type="pct"/>
          </w:tcPr>
          <w:p w14:paraId="31D2424E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1.58(0.93–2.66)</w:t>
            </w:r>
          </w:p>
        </w:tc>
      </w:tr>
      <w:tr w:rsidR="00AA4E1B" w:rsidRPr="0000104F" w14:paraId="57B98E85" w14:textId="77777777" w:rsidTr="00C8230C">
        <w:tc>
          <w:tcPr>
            <w:tcW w:w="1817" w:type="pct"/>
          </w:tcPr>
          <w:p w14:paraId="2BCB60BB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High (n=104)</w:t>
            </w:r>
          </w:p>
        </w:tc>
        <w:tc>
          <w:tcPr>
            <w:tcW w:w="1724" w:type="pct"/>
          </w:tcPr>
          <w:p w14:paraId="344AB97B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1.34 (0.80–2.27)</w:t>
            </w:r>
          </w:p>
        </w:tc>
        <w:tc>
          <w:tcPr>
            <w:tcW w:w="1459" w:type="pct"/>
          </w:tcPr>
          <w:p w14:paraId="31BA6B77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1.38 (0.82–2.31)</w:t>
            </w:r>
          </w:p>
        </w:tc>
      </w:tr>
      <w:tr w:rsidR="00AA4E1B" w:rsidRPr="0000104F" w14:paraId="09FF959C" w14:textId="77777777" w:rsidTr="00C8230C">
        <w:tc>
          <w:tcPr>
            <w:tcW w:w="1817" w:type="pct"/>
          </w:tcPr>
          <w:p w14:paraId="049D5970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24" w:type="pct"/>
          </w:tcPr>
          <w:p w14:paraId="237CDE5A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59" w:type="pct"/>
          </w:tcPr>
          <w:p w14:paraId="086AF32C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A4E1B" w:rsidRPr="0000104F" w14:paraId="4E0BB088" w14:textId="77777777" w:rsidTr="00C8230C">
        <w:tc>
          <w:tcPr>
            <w:tcW w:w="1817" w:type="pct"/>
          </w:tcPr>
          <w:p w14:paraId="2D1B451C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0104F">
              <w:rPr>
                <w:rFonts w:ascii="Arial" w:hAnsi="Arial" w:cs="Arial"/>
                <w:b/>
                <w:sz w:val="24"/>
                <w:szCs w:val="24"/>
              </w:rPr>
              <w:t>Final Model</w:t>
            </w:r>
            <w:r w:rsidRPr="0000104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b</w:t>
            </w:r>
            <w:r w:rsidRPr="000010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4" w:type="pct"/>
          </w:tcPr>
          <w:p w14:paraId="0A3708EF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59" w:type="pct"/>
          </w:tcPr>
          <w:p w14:paraId="7C5E706B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A4E1B" w:rsidRPr="0000104F" w14:paraId="12E9745A" w14:textId="77777777" w:rsidTr="00C8230C">
        <w:tc>
          <w:tcPr>
            <w:tcW w:w="1817" w:type="pct"/>
          </w:tcPr>
          <w:p w14:paraId="31802E65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Low (n=78)</w:t>
            </w:r>
          </w:p>
        </w:tc>
        <w:tc>
          <w:tcPr>
            <w:tcW w:w="1724" w:type="pct"/>
          </w:tcPr>
          <w:p w14:paraId="1D809C21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0104F">
              <w:rPr>
                <w:rFonts w:ascii="Arial" w:eastAsia="MS Mincho" w:hAnsi="Arial" w:cs="Arial"/>
                <w:sz w:val="24"/>
                <w:szCs w:val="24"/>
              </w:rPr>
              <w:t>1.00 (reference)</w:t>
            </w:r>
          </w:p>
        </w:tc>
        <w:tc>
          <w:tcPr>
            <w:tcW w:w="1459" w:type="pct"/>
          </w:tcPr>
          <w:p w14:paraId="69F263BF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1.00 (reference)</w:t>
            </w:r>
          </w:p>
        </w:tc>
      </w:tr>
      <w:tr w:rsidR="00AA4E1B" w:rsidRPr="0000104F" w14:paraId="7DDE8957" w14:textId="77777777" w:rsidTr="00C8230C">
        <w:tc>
          <w:tcPr>
            <w:tcW w:w="1817" w:type="pct"/>
          </w:tcPr>
          <w:p w14:paraId="21214BA2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Intermediate (n=78)</w:t>
            </w:r>
          </w:p>
        </w:tc>
        <w:tc>
          <w:tcPr>
            <w:tcW w:w="1724" w:type="pct"/>
          </w:tcPr>
          <w:p w14:paraId="155F3C67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1.26 (0.72–2.20)</w:t>
            </w:r>
          </w:p>
        </w:tc>
        <w:tc>
          <w:tcPr>
            <w:tcW w:w="1459" w:type="pct"/>
          </w:tcPr>
          <w:p w14:paraId="019CF7E4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1.44 (0.84–2.46)</w:t>
            </w:r>
          </w:p>
        </w:tc>
      </w:tr>
      <w:tr w:rsidR="00AA4E1B" w:rsidRPr="0000104F" w14:paraId="544CC4D5" w14:textId="77777777" w:rsidTr="00642E0F">
        <w:tc>
          <w:tcPr>
            <w:tcW w:w="1817" w:type="pct"/>
          </w:tcPr>
          <w:p w14:paraId="5D47D28E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High (n=104)</w:t>
            </w:r>
          </w:p>
        </w:tc>
        <w:tc>
          <w:tcPr>
            <w:tcW w:w="1724" w:type="pct"/>
          </w:tcPr>
          <w:p w14:paraId="27657205" w14:textId="77777777" w:rsidR="00AA4E1B" w:rsidRPr="0000104F" w:rsidRDefault="00AA4E1B" w:rsidP="003D2697">
            <w:pPr>
              <w:pStyle w:val="table2"/>
              <w:tabs>
                <w:tab w:val="left" w:pos="971"/>
              </w:tabs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0104F">
              <w:rPr>
                <w:rFonts w:ascii="Arial" w:hAnsi="Arial" w:cs="Arial"/>
                <w:sz w:val="24"/>
                <w:szCs w:val="24"/>
              </w:rPr>
              <w:t>1.21 (0.69–2.12)</w:t>
            </w:r>
          </w:p>
        </w:tc>
        <w:tc>
          <w:tcPr>
            <w:tcW w:w="1459" w:type="pct"/>
          </w:tcPr>
          <w:p w14:paraId="79D3FAE3" w14:textId="2FA82C35" w:rsidR="00AA4E1B" w:rsidRPr="0000104F" w:rsidRDefault="00845F39" w:rsidP="003D2697">
            <w:pPr>
              <w:pStyle w:val="table2"/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845F39">
              <w:rPr>
                <w:rFonts w:ascii="Arial" w:hAnsi="Arial" w:cs="Arial"/>
                <w:sz w:val="24"/>
                <w:szCs w:val="24"/>
              </w:rPr>
              <w:t>1.2</w:t>
            </w:r>
            <w:r>
              <w:rPr>
                <w:rFonts w:ascii="Arial" w:hAnsi="Arial" w:cs="Arial"/>
                <w:sz w:val="24"/>
                <w:szCs w:val="24"/>
              </w:rPr>
              <w:t>7 (</w:t>
            </w:r>
            <w:r w:rsidRPr="00845F39">
              <w:rPr>
                <w:rFonts w:ascii="Arial" w:hAnsi="Arial" w:cs="Arial"/>
                <w:sz w:val="24"/>
                <w:szCs w:val="24"/>
              </w:rPr>
              <w:t>0.77</w:t>
            </w:r>
            <w:r w:rsidRPr="0000104F">
              <w:rPr>
                <w:rFonts w:ascii="Arial" w:hAnsi="Arial" w:cs="Arial"/>
                <w:sz w:val="24"/>
                <w:szCs w:val="24"/>
              </w:rPr>
              <w:t>–</w:t>
            </w:r>
            <w:r w:rsidRPr="00845F39">
              <w:rPr>
                <w:rFonts w:ascii="Arial" w:hAnsi="Arial" w:cs="Arial"/>
                <w:sz w:val="24"/>
                <w:szCs w:val="24"/>
              </w:rPr>
              <w:t>2.08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AA4E1B" w:rsidRPr="0000104F" w14:paraId="6A1273AF" w14:textId="77777777" w:rsidTr="00E40543">
        <w:tc>
          <w:tcPr>
            <w:tcW w:w="1817" w:type="pct"/>
            <w:tcBorders>
              <w:bottom w:val="single" w:sz="4" w:space="0" w:color="auto"/>
            </w:tcBorders>
          </w:tcPr>
          <w:p w14:paraId="20280EA6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pct"/>
            <w:tcBorders>
              <w:bottom w:val="single" w:sz="4" w:space="0" w:color="auto"/>
            </w:tcBorders>
          </w:tcPr>
          <w:p w14:paraId="3BC6C607" w14:textId="77777777" w:rsidR="00AA4E1B" w:rsidRPr="0000104F" w:rsidRDefault="00AA4E1B" w:rsidP="003D2697">
            <w:pPr>
              <w:pStyle w:val="table2"/>
              <w:tabs>
                <w:tab w:val="left" w:pos="971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14:paraId="53A7DE92" w14:textId="77777777" w:rsidR="00AA4E1B" w:rsidRPr="0000104F" w:rsidRDefault="00AA4E1B" w:rsidP="003D2697">
            <w:pPr>
              <w:pStyle w:val="table2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ECE8F3" w14:textId="77777777" w:rsidR="00AA4E1B" w:rsidRPr="0000104F" w:rsidRDefault="00AA4E1B" w:rsidP="003D2697">
      <w:pPr>
        <w:pStyle w:val="table2"/>
        <w:spacing w:line="480" w:lineRule="auto"/>
        <w:rPr>
          <w:rFonts w:ascii="Arial" w:hAnsi="Arial" w:cs="Arial"/>
          <w:sz w:val="24"/>
          <w:szCs w:val="24"/>
        </w:rPr>
      </w:pPr>
      <w:r w:rsidRPr="0000104F">
        <w:rPr>
          <w:rFonts w:ascii="Arial" w:hAnsi="Arial" w:cs="Arial"/>
          <w:sz w:val="24"/>
          <w:szCs w:val="24"/>
        </w:rPr>
        <w:t>BCC: basal cell carcinoma; EDIP: empirical dietary inflammatory pattern, RR: relative risk, SCC: squamous cell carcinoma</w:t>
      </w:r>
    </w:p>
    <w:p w14:paraId="7BB18D16" w14:textId="77777777" w:rsidR="00AA4E1B" w:rsidRPr="0000104F" w:rsidRDefault="00AA4E1B" w:rsidP="003D2697">
      <w:pPr>
        <w:pStyle w:val="table2"/>
        <w:spacing w:line="480" w:lineRule="auto"/>
        <w:rPr>
          <w:rFonts w:ascii="Arial" w:hAnsi="Arial" w:cs="Arial"/>
          <w:sz w:val="24"/>
          <w:szCs w:val="24"/>
        </w:rPr>
      </w:pPr>
      <w:r w:rsidRPr="0000104F">
        <w:rPr>
          <w:rFonts w:ascii="Arial" w:hAnsi="Arial" w:cs="Arial"/>
          <w:sz w:val="24"/>
          <w:szCs w:val="24"/>
          <w:vertAlign w:val="superscript"/>
        </w:rPr>
        <w:t>a</w:t>
      </w:r>
      <w:r w:rsidRPr="0000104F">
        <w:rPr>
          <w:rFonts w:ascii="Arial" w:hAnsi="Arial" w:cs="Arial"/>
          <w:sz w:val="24"/>
          <w:szCs w:val="24"/>
        </w:rPr>
        <w:t xml:space="preserve"> Base model: adjusted for age and sex for all tumour types and transplant types</w:t>
      </w:r>
    </w:p>
    <w:p w14:paraId="5BD3DD19" w14:textId="36490FC2" w:rsidR="00287BB5" w:rsidRPr="00224CB9" w:rsidRDefault="00AA4E1B" w:rsidP="00224CB9">
      <w:pPr>
        <w:pStyle w:val="table2"/>
        <w:spacing w:line="480" w:lineRule="auto"/>
        <w:rPr>
          <w:rFonts w:ascii="Arial" w:hAnsi="Arial" w:cs="Arial"/>
          <w:sz w:val="24"/>
          <w:szCs w:val="24"/>
        </w:rPr>
      </w:pPr>
      <w:r w:rsidRPr="0000104F">
        <w:rPr>
          <w:rFonts w:ascii="Arial" w:hAnsi="Arial" w:cs="Arial"/>
          <w:sz w:val="24"/>
          <w:szCs w:val="24"/>
          <w:vertAlign w:val="superscript"/>
        </w:rPr>
        <w:t>b</w:t>
      </w:r>
      <w:r w:rsidRPr="0000104F">
        <w:rPr>
          <w:rFonts w:ascii="Arial" w:hAnsi="Arial" w:cs="Arial"/>
          <w:sz w:val="24"/>
          <w:szCs w:val="24"/>
        </w:rPr>
        <w:t xml:space="preserve"> Final model for BCC: age, sex, skin cancer excision history. Final model for SCC: age, sex, education, skin cancer excision history. </w:t>
      </w:r>
    </w:p>
    <w:sectPr w:rsidR="00287BB5" w:rsidRPr="00224CB9" w:rsidSect="00A708EE">
      <w:pgSz w:w="11900" w:h="16840"/>
      <w:pgMar w:top="1440" w:right="1440" w:bottom="1440" w:left="1440" w:header="708" w:footer="708" w:gutter="0"/>
      <w:lnNumType w:countBy="1" w:restart="continuous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42E18" w14:textId="77777777" w:rsidR="006307C6" w:rsidRDefault="006307C6">
      <w:pPr>
        <w:spacing w:after="0" w:line="240" w:lineRule="auto"/>
      </w:pPr>
      <w:r>
        <w:separator/>
      </w:r>
    </w:p>
  </w:endnote>
  <w:endnote w:type="continuationSeparator" w:id="0">
    <w:p w14:paraId="133F4B30" w14:textId="77777777" w:rsidR="006307C6" w:rsidRDefault="0063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E3EAC" w14:textId="77777777" w:rsidR="00534C33" w:rsidRDefault="006307C6" w:rsidP="008839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220E" w14:textId="77777777" w:rsidR="006307C6" w:rsidRDefault="006307C6">
      <w:pPr>
        <w:spacing w:after="0" w:line="240" w:lineRule="auto"/>
      </w:pPr>
      <w:r>
        <w:separator/>
      </w:r>
    </w:p>
  </w:footnote>
  <w:footnote w:type="continuationSeparator" w:id="0">
    <w:p w14:paraId="0F38840C" w14:textId="77777777" w:rsidR="006307C6" w:rsidRDefault="0063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5802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2B7E9F" w14:textId="24668442" w:rsidR="00534C33" w:rsidRDefault="006F3B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8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A55050" w14:textId="77777777" w:rsidR="00534C33" w:rsidRDefault="00630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AF0"/>
    <w:multiLevelType w:val="hybridMultilevel"/>
    <w:tmpl w:val="3FC286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2F4D"/>
    <w:multiLevelType w:val="hybridMultilevel"/>
    <w:tmpl w:val="74FC5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DD4"/>
    <w:multiLevelType w:val="hybridMultilevel"/>
    <w:tmpl w:val="2A6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A04"/>
    <w:multiLevelType w:val="hybridMultilevel"/>
    <w:tmpl w:val="443E941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41B7"/>
    <w:multiLevelType w:val="hybridMultilevel"/>
    <w:tmpl w:val="9ADC7A42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9D46F15"/>
    <w:multiLevelType w:val="hybridMultilevel"/>
    <w:tmpl w:val="313C5B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7567"/>
    <w:multiLevelType w:val="hybridMultilevel"/>
    <w:tmpl w:val="4950D5C6"/>
    <w:lvl w:ilvl="0" w:tplc="494C53F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20ED"/>
    <w:multiLevelType w:val="hybridMultilevel"/>
    <w:tmpl w:val="F814AD06"/>
    <w:lvl w:ilvl="0" w:tplc="45ECCB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25B23"/>
    <w:multiLevelType w:val="hybridMultilevel"/>
    <w:tmpl w:val="9EA2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106B8"/>
    <w:multiLevelType w:val="multilevel"/>
    <w:tmpl w:val="E71487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80981"/>
    <w:multiLevelType w:val="hybridMultilevel"/>
    <w:tmpl w:val="988C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F74CC"/>
    <w:multiLevelType w:val="hybridMultilevel"/>
    <w:tmpl w:val="31A85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06BE"/>
    <w:multiLevelType w:val="hybridMultilevel"/>
    <w:tmpl w:val="0D3619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3F7D"/>
    <w:multiLevelType w:val="hybridMultilevel"/>
    <w:tmpl w:val="0B727A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2A18"/>
    <w:multiLevelType w:val="hybridMultilevel"/>
    <w:tmpl w:val="D478BEB6"/>
    <w:lvl w:ilvl="0" w:tplc="922ACC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58F8"/>
    <w:multiLevelType w:val="hybridMultilevel"/>
    <w:tmpl w:val="8B6414D2"/>
    <w:lvl w:ilvl="0" w:tplc="722ED4E2">
      <w:start w:val="2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7024A7"/>
    <w:multiLevelType w:val="multilevel"/>
    <w:tmpl w:val="BBFA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C43959"/>
    <w:multiLevelType w:val="hybridMultilevel"/>
    <w:tmpl w:val="D0586A00"/>
    <w:lvl w:ilvl="0" w:tplc="C9CC4A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C7C70"/>
    <w:multiLevelType w:val="hybridMultilevel"/>
    <w:tmpl w:val="60786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D259E"/>
    <w:multiLevelType w:val="hybridMultilevel"/>
    <w:tmpl w:val="91D0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F2FDE"/>
    <w:multiLevelType w:val="hybridMultilevel"/>
    <w:tmpl w:val="96BE8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1410"/>
    <w:multiLevelType w:val="hybridMultilevel"/>
    <w:tmpl w:val="E1CC0E2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3127F"/>
    <w:multiLevelType w:val="hybridMultilevel"/>
    <w:tmpl w:val="AB404F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92283"/>
    <w:multiLevelType w:val="hybridMultilevel"/>
    <w:tmpl w:val="4950D5C6"/>
    <w:lvl w:ilvl="0" w:tplc="494C53F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B0DAD"/>
    <w:multiLevelType w:val="hybridMultilevel"/>
    <w:tmpl w:val="464E8AD4"/>
    <w:lvl w:ilvl="0" w:tplc="AAC287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3"/>
  </w:num>
  <w:num w:numId="4">
    <w:abstractNumId w:val="12"/>
  </w:num>
  <w:num w:numId="5">
    <w:abstractNumId w:val="1"/>
  </w:num>
  <w:num w:numId="6">
    <w:abstractNumId w:val="24"/>
  </w:num>
  <w:num w:numId="7">
    <w:abstractNumId w:val="0"/>
  </w:num>
  <w:num w:numId="8">
    <w:abstractNumId w:val="3"/>
  </w:num>
  <w:num w:numId="9">
    <w:abstractNumId w:val="22"/>
  </w:num>
  <w:num w:numId="10">
    <w:abstractNumId w:val="15"/>
  </w:num>
  <w:num w:numId="11">
    <w:abstractNumId w:val="7"/>
  </w:num>
  <w:num w:numId="12">
    <w:abstractNumId w:val="11"/>
  </w:num>
  <w:num w:numId="13">
    <w:abstractNumId w:val="14"/>
  </w:num>
  <w:num w:numId="14">
    <w:abstractNumId w:val="16"/>
  </w:num>
  <w:num w:numId="15">
    <w:abstractNumId w:val="18"/>
  </w:num>
  <w:num w:numId="16">
    <w:abstractNumId w:val="13"/>
  </w:num>
  <w:num w:numId="17">
    <w:abstractNumId w:val="4"/>
  </w:num>
  <w:num w:numId="18">
    <w:abstractNumId w:val="8"/>
  </w:num>
  <w:num w:numId="19">
    <w:abstractNumId w:val="10"/>
  </w:num>
  <w:num w:numId="20">
    <w:abstractNumId w:val="21"/>
  </w:num>
  <w:num w:numId="21">
    <w:abstractNumId w:val="17"/>
  </w:num>
  <w:num w:numId="22">
    <w:abstractNumId w:val="5"/>
  </w:num>
  <w:num w:numId="23">
    <w:abstractNumId w:val="2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A4E1B"/>
    <w:rsid w:val="0000104F"/>
    <w:rsid w:val="00002052"/>
    <w:rsid w:val="00011869"/>
    <w:rsid w:val="000126E1"/>
    <w:rsid w:val="00016028"/>
    <w:rsid w:val="00022E92"/>
    <w:rsid w:val="000518A9"/>
    <w:rsid w:val="00087EEF"/>
    <w:rsid w:val="00093FAC"/>
    <w:rsid w:val="00094A6E"/>
    <w:rsid w:val="000A2F3C"/>
    <w:rsid w:val="000B075B"/>
    <w:rsid w:val="000D4E24"/>
    <w:rsid w:val="00106845"/>
    <w:rsid w:val="00122C70"/>
    <w:rsid w:val="00134B19"/>
    <w:rsid w:val="001414CC"/>
    <w:rsid w:val="00147720"/>
    <w:rsid w:val="0015293E"/>
    <w:rsid w:val="00191B7C"/>
    <w:rsid w:val="001A2609"/>
    <w:rsid w:val="001C3ED0"/>
    <w:rsid w:val="001E652B"/>
    <w:rsid w:val="00224CB9"/>
    <w:rsid w:val="002540E1"/>
    <w:rsid w:val="00285074"/>
    <w:rsid w:val="00285EC6"/>
    <w:rsid w:val="00287BB5"/>
    <w:rsid w:val="002A64A3"/>
    <w:rsid w:val="002B532A"/>
    <w:rsid w:val="002E355D"/>
    <w:rsid w:val="002E373D"/>
    <w:rsid w:val="00311714"/>
    <w:rsid w:val="00342E64"/>
    <w:rsid w:val="00397F6A"/>
    <w:rsid w:val="003A278B"/>
    <w:rsid w:val="003B1500"/>
    <w:rsid w:val="003D2697"/>
    <w:rsid w:val="00400C5D"/>
    <w:rsid w:val="00404076"/>
    <w:rsid w:val="004075B2"/>
    <w:rsid w:val="004107F7"/>
    <w:rsid w:val="00415D01"/>
    <w:rsid w:val="004206AE"/>
    <w:rsid w:val="00426E85"/>
    <w:rsid w:val="00442A1F"/>
    <w:rsid w:val="00487C22"/>
    <w:rsid w:val="004A3F0F"/>
    <w:rsid w:val="004C3D07"/>
    <w:rsid w:val="004D44B2"/>
    <w:rsid w:val="004F79C6"/>
    <w:rsid w:val="00501B0E"/>
    <w:rsid w:val="00502EBE"/>
    <w:rsid w:val="0050590B"/>
    <w:rsid w:val="0054697D"/>
    <w:rsid w:val="00550B5C"/>
    <w:rsid w:val="005A6EBE"/>
    <w:rsid w:val="005C1ACA"/>
    <w:rsid w:val="005E7E19"/>
    <w:rsid w:val="006128CE"/>
    <w:rsid w:val="006307C6"/>
    <w:rsid w:val="0066305A"/>
    <w:rsid w:val="00666EBA"/>
    <w:rsid w:val="00671107"/>
    <w:rsid w:val="00685793"/>
    <w:rsid w:val="00690386"/>
    <w:rsid w:val="006912CF"/>
    <w:rsid w:val="006B50F0"/>
    <w:rsid w:val="006F3B08"/>
    <w:rsid w:val="00747F75"/>
    <w:rsid w:val="0076786F"/>
    <w:rsid w:val="007B631F"/>
    <w:rsid w:val="007C5B83"/>
    <w:rsid w:val="007E6039"/>
    <w:rsid w:val="007F2266"/>
    <w:rsid w:val="0081521E"/>
    <w:rsid w:val="008276DF"/>
    <w:rsid w:val="00845F39"/>
    <w:rsid w:val="00866BBC"/>
    <w:rsid w:val="008B18AC"/>
    <w:rsid w:val="00926D5A"/>
    <w:rsid w:val="009322A2"/>
    <w:rsid w:val="00951D57"/>
    <w:rsid w:val="00976944"/>
    <w:rsid w:val="009847FC"/>
    <w:rsid w:val="009922D2"/>
    <w:rsid w:val="009B4233"/>
    <w:rsid w:val="009B59E5"/>
    <w:rsid w:val="009F48A3"/>
    <w:rsid w:val="00A36C98"/>
    <w:rsid w:val="00A62FB7"/>
    <w:rsid w:val="00A708D2"/>
    <w:rsid w:val="00A708EE"/>
    <w:rsid w:val="00AA4E1B"/>
    <w:rsid w:val="00AD0C2F"/>
    <w:rsid w:val="00AE1B63"/>
    <w:rsid w:val="00AF1C0B"/>
    <w:rsid w:val="00B22D92"/>
    <w:rsid w:val="00B454AE"/>
    <w:rsid w:val="00B63709"/>
    <w:rsid w:val="00B6682C"/>
    <w:rsid w:val="00B70621"/>
    <w:rsid w:val="00B7228C"/>
    <w:rsid w:val="00B742CC"/>
    <w:rsid w:val="00B74A55"/>
    <w:rsid w:val="00B82C93"/>
    <w:rsid w:val="00B92064"/>
    <w:rsid w:val="00B95413"/>
    <w:rsid w:val="00BC69D6"/>
    <w:rsid w:val="00C475AF"/>
    <w:rsid w:val="00C57128"/>
    <w:rsid w:val="00C63F21"/>
    <w:rsid w:val="00C67475"/>
    <w:rsid w:val="00C75C07"/>
    <w:rsid w:val="00C84C5A"/>
    <w:rsid w:val="00C868D0"/>
    <w:rsid w:val="00C92072"/>
    <w:rsid w:val="00CA4FEA"/>
    <w:rsid w:val="00CA70BB"/>
    <w:rsid w:val="00CF35ED"/>
    <w:rsid w:val="00D4383A"/>
    <w:rsid w:val="00D525BE"/>
    <w:rsid w:val="00D70395"/>
    <w:rsid w:val="00DC305B"/>
    <w:rsid w:val="00DC48B7"/>
    <w:rsid w:val="00DC7D73"/>
    <w:rsid w:val="00DE0E67"/>
    <w:rsid w:val="00DE4583"/>
    <w:rsid w:val="00E07F38"/>
    <w:rsid w:val="00E21759"/>
    <w:rsid w:val="00E41F75"/>
    <w:rsid w:val="00E82FD2"/>
    <w:rsid w:val="00E902BF"/>
    <w:rsid w:val="00EA6A51"/>
    <w:rsid w:val="00EB7ADE"/>
    <w:rsid w:val="00EE01E6"/>
    <w:rsid w:val="00EE6B0E"/>
    <w:rsid w:val="00F2546A"/>
    <w:rsid w:val="00F256A6"/>
    <w:rsid w:val="00F418E7"/>
    <w:rsid w:val="00F517EB"/>
    <w:rsid w:val="00F56434"/>
    <w:rsid w:val="00F703FE"/>
    <w:rsid w:val="00F97111"/>
    <w:rsid w:val="00FA5D02"/>
    <w:rsid w:val="00FB7AC6"/>
    <w:rsid w:val="00FD019F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FBEB"/>
  <w15:chartTrackingRefBased/>
  <w15:docId w15:val="{C1C49720-A3F2-9A45-B1B5-450BF7EF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1B"/>
    <w:pPr>
      <w:spacing w:after="160" w:line="480" w:lineRule="auto"/>
    </w:pPr>
    <w:rPr>
      <w:rFonts w:ascii="Times New Roman" w:eastAsiaTheme="minorHAnsi" w:hAnsi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E1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E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A4E1B"/>
    <w:rPr>
      <w:rFonts w:ascii="Calibri" w:eastAsiaTheme="majorEastAsia" w:hAnsi="Calibri" w:cstheme="majorBidi"/>
      <w:b/>
      <w:bC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A4E1B"/>
    <w:rPr>
      <w:rFonts w:asciiTheme="majorHAnsi" w:eastAsiaTheme="majorEastAsia" w:hAnsiTheme="majorHAnsi" w:cstheme="majorBidi"/>
      <w:b/>
      <w:bCs/>
      <w:i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E1B"/>
    <w:rPr>
      <w:rFonts w:asciiTheme="majorHAnsi" w:eastAsiaTheme="majorEastAsia" w:hAnsiTheme="majorHAnsi" w:cstheme="majorBidi"/>
      <w:b/>
      <w:bCs/>
      <w:i/>
      <w:iCs/>
      <w:color w:val="000000" w:themeColor="text1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E1B"/>
    <w:rPr>
      <w:rFonts w:asciiTheme="majorHAnsi" w:eastAsiaTheme="majorEastAsia" w:hAnsiTheme="majorHAnsi" w:cstheme="majorBidi"/>
      <w:color w:val="1F3763" w:themeColor="accent1" w:themeShade="7F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E1B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E1B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E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AA4E1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A4E1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4E1B"/>
  </w:style>
  <w:style w:type="character" w:customStyle="1" w:styleId="DateChar">
    <w:name w:val="Date Char"/>
    <w:basedOn w:val="DefaultParagraphFont"/>
    <w:link w:val="Date"/>
    <w:uiPriority w:val="99"/>
    <w:semiHidden/>
    <w:rsid w:val="00AA4E1B"/>
    <w:rPr>
      <w:rFonts w:ascii="Times New Roman" w:eastAsiaTheme="minorHAnsi" w:hAnsi="Times New Roman"/>
      <w:szCs w:val="22"/>
      <w:lang w:val="en-GB"/>
    </w:rPr>
  </w:style>
  <w:style w:type="paragraph" w:customStyle="1" w:styleId="EndNoteBibliographyTitle">
    <w:name w:val="EndNote Bibliography Title"/>
    <w:basedOn w:val="Normal"/>
    <w:rsid w:val="00AA4E1B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AA4E1B"/>
    <w:pPr>
      <w:spacing w:line="240" w:lineRule="auto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A4E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4E1B"/>
    <w:pPr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4E1B"/>
    <w:rPr>
      <w:rFonts w:ascii="Times New Roman" w:eastAsiaTheme="minorHAnsi" w:hAnsi="Times New Roman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B"/>
    <w:rPr>
      <w:rFonts w:ascii="Tahoma" w:eastAsiaTheme="minorHAns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E1B"/>
    <w:pPr>
      <w:spacing w:line="240" w:lineRule="auto"/>
      <w:jc w:val="left"/>
    </w:pPr>
    <w:rPr>
      <w:rFonts w:ascii="Arial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E1B"/>
    <w:rPr>
      <w:rFonts w:ascii="Arial" w:eastAsiaTheme="minorHAnsi" w:hAnsi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4E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1B"/>
    <w:rPr>
      <w:rFonts w:ascii="Times New Roman" w:eastAsiaTheme="minorHAnsi" w:hAnsi="Times New Roman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4E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1B"/>
    <w:rPr>
      <w:rFonts w:ascii="Times New Roman" w:eastAsiaTheme="minorHAnsi" w:hAnsi="Times New Roman"/>
      <w:szCs w:val="22"/>
      <w:lang w:val="en-GB"/>
    </w:rPr>
  </w:style>
  <w:style w:type="table" w:styleId="TableGrid">
    <w:name w:val="Table Grid"/>
    <w:basedOn w:val="TableNormal"/>
    <w:uiPriority w:val="59"/>
    <w:rsid w:val="00AA4E1B"/>
    <w:pPr>
      <w:spacing w:after="160" w:line="259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A4E1B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table2">
    <w:name w:val="table2"/>
    <w:link w:val="table2Char"/>
    <w:rsid w:val="00AA4E1B"/>
    <w:pPr>
      <w:spacing w:after="160" w:line="259" w:lineRule="auto"/>
    </w:pPr>
    <w:rPr>
      <w:rFonts w:ascii="Times New Roman" w:eastAsiaTheme="minorHAnsi" w:hAnsi="Times New Roman" w:cs="Times New Roman"/>
      <w:sz w:val="18"/>
      <w:szCs w:val="18"/>
      <w:lang w:val="en-GB"/>
    </w:rPr>
  </w:style>
  <w:style w:type="character" w:customStyle="1" w:styleId="table2Char">
    <w:name w:val="table2 Char"/>
    <w:basedOn w:val="DefaultParagraphFont"/>
    <w:link w:val="table2"/>
    <w:rsid w:val="00AA4E1B"/>
    <w:rPr>
      <w:rFonts w:ascii="Times New Roman" w:eastAsiaTheme="minorHAnsi" w:hAnsi="Times New Roman" w:cs="Times New Roman"/>
      <w:sz w:val="18"/>
      <w:szCs w:val="1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A4E1B"/>
  </w:style>
  <w:style w:type="table" w:customStyle="1" w:styleId="TableGrid1">
    <w:name w:val="Table Grid1"/>
    <w:basedOn w:val="TableNormal"/>
    <w:next w:val="TableGrid"/>
    <w:uiPriority w:val="59"/>
    <w:rsid w:val="00AA4E1B"/>
    <w:pPr>
      <w:spacing w:after="160" w:line="259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4E1B"/>
    <w:pPr>
      <w:spacing w:after="160" w:line="259" w:lineRule="auto"/>
    </w:pPr>
    <w:rPr>
      <w:rFonts w:ascii="Arial" w:eastAsiaTheme="minorHAnsi" w:hAnsi="Arial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A4E1B"/>
    <w:rPr>
      <w:color w:val="0000FF"/>
      <w:u w:val="single"/>
    </w:rPr>
  </w:style>
  <w:style w:type="character" w:styleId="Emphasis">
    <w:name w:val="Emphasis"/>
    <w:uiPriority w:val="20"/>
    <w:qFormat/>
    <w:rsid w:val="00AA4E1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A4E1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4E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4E1B"/>
    <w:rPr>
      <w:rFonts w:asciiTheme="majorHAnsi" w:eastAsiaTheme="majorEastAsia" w:hAnsiTheme="majorHAnsi" w:cstheme="majorBidi"/>
      <w:i/>
      <w:iCs/>
      <w:color w:val="4472C4" w:themeColor="accent1"/>
      <w:spacing w:val="15"/>
      <w:lang w:val="en-GB"/>
    </w:rPr>
  </w:style>
  <w:style w:type="character" w:styleId="Strong">
    <w:name w:val="Strong"/>
    <w:basedOn w:val="DefaultParagraphFont"/>
    <w:uiPriority w:val="22"/>
    <w:qFormat/>
    <w:rsid w:val="00AA4E1B"/>
    <w:rPr>
      <w:b/>
      <w:bCs/>
    </w:rPr>
  </w:style>
  <w:style w:type="paragraph" w:styleId="NoSpacing">
    <w:name w:val="No Spacing"/>
    <w:uiPriority w:val="1"/>
    <w:qFormat/>
    <w:rsid w:val="00AA4E1B"/>
    <w:rPr>
      <w:rFonts w:eastAsiaTheme="minorHAnsi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A4E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4E1B"/>
    <w:rPr>
      <w:rFonts w:ascii="Times New Roman" w:eastAsiaTheme="minorHAnsi" w:hAnsi="Times New Roman"/>
      <w:i/>
      <w:iCs/>
      <w:color w:val="000000" w:themeColor="text1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E1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E1B"/>
    <w:rPr>
      <w:rFonts w:ascii="Times New Roman" w:eastAsiaTheme="minorHAnsi" w:hAnsi="Times New Roman"/>
      <w:b/>
      <w:bCs/>
      <w:i/>
      <w:iCs/>
      <w:color w:val="4472C4" w:themeColor="accent1"/>
      <w:szCs w:val="22"/>
      <w:lang w:val="en-GB"/>
    </w:rPr>
  </w:style>
  <w:style w:type="character" w:styleId="SubtleEmphasis">
    <w:name w:val="Subtle Emphasis"/>
    <w:uiPriority w:val="19"/>
    <w:qFormat/>
    <w:rsid w:val="00AA4E1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A4E1B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/>
    <w:rsid w:val="00AA4E1B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AA4E1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AA4E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E1B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AA4E1B"/>
  </w:style>
  <w:style w:type="paragraph" w:customStyle="1" w:styleId="Style1">
    <w:name w:val="Style1"/>
    <w:basedOn w:val="Normal"/>
    <w:link w:val="Style1Char"/>
    <w:qFormat/>
    <w:rsid w:val="00AA4E1B"/>
    <w:rPr>
      <w:rFonts w:cs="Arial"/>
    </w:rPr>
  </w:style>
  <w:style w:type="character" w:customStyle="1" w:styleId="Style1Char">
    <w:name w:val="Style1 Char"/>
    <w:basedOn w:val="DefaultParagraphFont"/>
    <w:link w:val="Style1"/>
    <w:rsid w:val="00AA4E1B"/>
    <w:rPr>
      <w:rFonts w:ascii="Times New Roman" w:eastAsiaTheme="minorHAnsi" w:hAnsi="Times New Roman" w:cs="Arial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4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948509-65A0-2440-BFBE-4A6A1224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Shao</dc:creator>
  <cp:keywords/>
  <dc:description/>
  <cp:lastModifiedBy>Emily Shao</cp:lastModifiedBy>
  <cp:revision>7</cp:revision>
  <dcterms:created xsi:type="dcterms:W3CDTF">2020-05-11T03:05:00Z</dcterms:created>
  <dcterms:modified xsi:type="dcterms:W3CDTF">2020-05-22T11:44:00Z</dcterms:modified>
</cp:coreProperties>
</file>