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D13FA" w14:textId="19C17479" w:rsidR="001667D3" w:rsidRPr="00606815" w:rsidRDefault="00EC0031" w:rsidP="00606815">
      <w:pPr>
        <w:spacing w:line="360" w:lineRule="auto"/>
        <w:jc w:val="center"/>
        <w:rPr>
          <w:rFonts w:asciiTheme="minorHAnsi" w:hAnsiTheme="minorHAnsi" w:cstheme="minorHAnsi"/>
          <w:b/>
          <w:bCs/>
          <w:color w:val="000000" w:themeColor="text1"/>
          <w:sz w:val="28"/>
          <w:szCs w:val="28"/>
        </w:rPr>
      </w:pPr>
      <w:r w:rsidRPr="00606815">
        <w:rPr>
          <w:rFonts w:asciiTheme="minorHAnsi" w:hAnsiTheme="minorHAnsi" w:cstheme="minorHAnsi"/>
          <w:b/>
          <w:bCs/>
          <w:color w:val="000000" w:themeColor="text1"/>
          <w:sz w:val="28"/>
          <w:szCs w:val="28"/>
        </w:rPr>
        <w:t>Supplementary Material</w:t>
      </w:r>
      <w:r w:rsidR="00360943">
        <w:rPr>
          <w:rFonts w:asciiTheme="minorHAnsi" w:hAnsiTheme="minorHAnsi" w:cstheme="minorHAnsi"/>
          <w:b/>
          <w:bCs/>
          <w:color w:val="000000" w:themeColor="text1"/>
          <w:sz w:val="28"/>
          <w:szCs w:val="28"/>
        </w:rPr>
        <w:t>s</w:t>
      </w:r>
    </w:p>
    <w:p w14:paraId="283A9938" w14:textId="5DF05E78" w:rsidR="007912FB" w:rsidRPr="008501AC" w:rsidRDefault="007912FB" w:rsidP="00425708">
      <w:pPr>
        <w:spacing w:line="360" w:lineRule="auto"/>
        <w:rPr>
          <w:rFonts w:asciiTheme="minorHAnsi" w:hAnsiTheme="minorHAnsi" w:cstheme="minorHAnsi"/>
          <w:b/>
          <w:bCs/>
          <w:color w:val="000000" w:themeColor="text1"/>
          <w:sz w:val="24"/>
          <w:szCs w:val="24"/>
        </w:rPr>
      </w:pPr>
      <w:r w:rsidRPr="008501AC">
        <w:rPr>
          <w:rFonts w:asciiTheme="minorHAnsi" w:hAnsiTheme="minorHAnsi" w:cstheme="minorHAnsi"/>
          <w:b/>
          <w:bCs/>
          <w:color w:val="000000" w:themeColor="text1"/>
          <w:sz w:val="24"/>
          <w:szCs w:val="24"/>
        </w:rPr>
        <w:t>Definition of group</w:t>
      </w:r>
    </w:p>
    <w:p w14:paraId="6E009AAC" w14:textId="3990D859" w:rsidR="007912FB" w:rsidRPr="008501AC" w:rsidRDefault="00425708" w:rsidP="00425708">
      <w:pPr>
        <w:spacing w:line="360" w:lineRule="auto"/>
        <w:rPr>
          <w:rFonts w:asciiTheme="minorHAnsi" w:hAnsiTheme="minorHAnsi" w:cstheme="minorHAnsi"/>
          <w:color w:val="000000" w:themeColor="text1"/>
          <w:sz w:val="24"/>
          <w:szCs w:val="24"/>
          <w:lang w:val="en-US" w:eastAsia="ja-JP"/>
        </w:rPr>
      </w:pPr>
      <w:r w:rsidRPr="008501AC">
        <w:rPr>
          <w:rFonts w:asciiTheme="minorHAnsi" w:hAnsiTheme="minorHAnsi" w:cstheme="minorHAnsi"/>
          <w:color w:val="000000" w:themeColor="text1"/>
          <w:sz w:val="24"/>
          <w:szCs w:val="24"/>
          <w:lang w:val="en-US" w:eastAsia="ja-JP"/>
        </w:rPr>
        <w:t>FPIES group</w:t>
      </w:r>
    </w:p>
    <w:p w14:paraId="058CFEB2" w14:textId="4B2FB04B" w:rsidR="007912FB" w:rsidRPr="008501AC" w:rsidRDefault="007912FB" w:rsidP="00425708">
      <w:pPr>
        <w:spacing w:line="360" w:lineRule="auto"/>
        <w:rPr>
          <w:rFonts w:asciiTheme="minorHAnsi" w:hAnsiTheme="minorHAnsi" w:cstheme="minorHAnsi"/>
          <w:color w:val="000000" w:themeColor="text1"/>
          <w:sz w:val="24"/>
          <w:szCs w:val="24"/>
          <w:lang w:val="en-US" w:eastAsia="de-CH"/>
        </w:rPr>
      </w:pPr>
      <w:r w:rsidRPr="008501AC">
        <w:rPr>
          <w:rFonts w:asciiTheme="minorHAnsi" w:hAnsiTheme="minorHAnsi" w:cstheme="minorHAnsi"/>
          <w:color w:val="000000" w:themeColor="text1"/>
          <w:sz w:val="24"/>
          <w:szCs w:val="24"/>
          <w:lang w:val="en-US" w:eastAsia="de-CH"/>
        </w:rPr>
        <w:t>The diagnosis and severity of FPIES were ascertained using the diagnostic criteria of the International Consensus Guideline published in the Journal of Allergy and Clinical Immunology</w:t>
      </w:r>
      <w:r w:rsidR="00425708" w:rsidRPr="008501AC">
        <w:rPr>
          <w:rFonts w:asciiTheme="minorHAnsi" w:hAnsiTheme="minorHAnsi" w:cstheme="minorHAnsi"/>
          <w:color w:val="000000" w:themeColor="text1"/>
          <w:sz w:val="24"/>
          <w:szCs w:val="24"/>
          <w:lang w:val="en-US" w:eastAsia="de-CH"/>
        </w:rPr>
        <w:t xml:space="preserve"> [1]</w:t>
      </w:r>
      <w:r w:rsidRPr="008501AC">
        <w:rPr>
          <w:rFonts w:asciiTheme="minorHAnsi" w:hAnsiTheme="minorHAnsi" w:cstheme="minorHAnsi"/>
          <w:color w:val="000000" w:themeColor="text1"/>
          <w:sz w:val="24"/>
          <w:szCs w:val="24"/>
          <w:lang w:val="en-US" w:eastAsia="de-CH"/>
        </w:rPr>
        <w:t xml:space="preserve">. Negative results of the OFC tests and episodes within one week from </w:t>
      </w:r>
      <w:r w:rsidR="00B87E49">
        <w:rPr>
          <w:rFonts w:asciiTheme="minorHAnsi" w:hAnsiTheme="minorHAnsi" w:cstheme="minorHAnsi"/>
          <w:color w:val="000000" w:themeColor="text1"/>
          <w:sz w:val="24"/>
          <w:szCs w:val="24"/>
          <w:lang w:val="en-US" w:eastAsia="de-CH"/>
        </w:rPr>
        <w:t xml:space="preserve">a </w:t>
      </w:r>
      <w:r w:rsidRPr="008501AC">
        <w:rPr>
          <w:rFonts w:asciiTheme="minorHAnsi" w:hAnsiTheme="minorHAnsi" w:cstheme="minorHAnsi"/>
          <w:color w:val="000000" w:themeColor="text1"/>
          <w:sz w:val="24"/>
          <w:szCs w:val="24"/>
          <w:lang w:val="en-US" w:eastAsia="de-CH"/>
        </w:rPr>
        <w:t>previous vomiting episode were excluded.</w:t>
      </w:r>
    </w:p>
    <w:p w14:paraId="79FED794" w14:textId="77777777" w:rsidR="007912FB" w:rsidRPr="008501AC" w:rsidRDefault="007912FB" w:rsidP="00425708">
      <w:pPr>
        <w:spacing w:line="360" w:lineRule="auto"/>
        <w:rPr>
          <w:rFonts w:asciiTheme="minorHAnsi" w:hAnsiTheme="minorHAnsi" w:cstheme="minorHAnsi"/>
          <w:color w:val="000000" w:themeColor="text1"/>
          <w:sz w:val="24"/>
          <w:szCs w:val="24"/>
        </w:rPr>
      </w:pPr>
      <w:r w:rsidRPr="008501AC">
        <w:rPr>
          <w:rFonts w:asciiTheme="minorHAnsi" w:hAnsiTheme="minorHAnsi" w:cstheme="minorHAnsi"/>
          <w:color w:val="000000" w:themeColor="text1"/>
          <w:sz w:val="24"/>
          <w:szCs w:val="24"/>
        </w:rPr>
        <w:t>Control group</w:t>
      </w:r>
    </w:p>
    <w:p w14:paraId="40A133D7" w14:textId="44461C5C" w:rsidR="007912FB" w:rsidRPr="008501AC" w:rsidRDefault="007912FB" w:rsidP="00425708">
      <w:pPr>
        <w:spacing w:line="360" w:lineRule="auto"/>
        <w:rPr>
          <w:rFonts w:asciiTheme="minorHAnsi" w:hAnsiTheme="minorHAnsi" w:cstheme="minorHAnsi"/>
          <w:color w:val="000000" w:themeColor="text1"/>
          <w:sz w:val="24"/>
          <w:szCs w:val="24"/>
        </w:rPr>
      </w:pPr>
      <w:r w:rsidRPr="008501AC">
        <w:rPr>
          <w:rFonts w:asciiTheme="minorHAnsi" w:hAnsiTheme="minorHAnsi" w:cstheme="minorHAnsi"/>
          <w:color w:val="000000" w:themeColor="text1"/>
          <w:sz w:val="24"/>
          <w:szCs w:val="24"/>
        </w:rPr>
        <w:t xml:space="preserve">A case </w:t>
      </w:r>
      <w:r w:rsidR="007C4A83">
        <w:rPr>
          <w:rFonts w:asciiTheme="minorHAnsi" w:hAnsiTheme="minorHAnsi" w:cstheme="minorHAnsi"/>
          <w:color w:val="000000" w:themeColor="text1"/>
          <w:sz w:val="24"/>
          <w:szCs w:val="24"/>
        </w:rPr>
        <w:t>(</w:t>
      </w:r>
      <w:r w:rsidR="007C4A83" w:rsidRPr="008501AC">
        <w:rPr>
          <w:rFonts w:asciiTheme="minorHAnsi" w:hAnsiTheme="minorHAnsi" w:cstheme="minorHAnsi"/>
          <w:color w:val="000000" w:themeColor="text1"/>
          <w:sz w:val="24"/>
          <w:szCs w:val="24"/>
        </w:rPr>
        <w:t>diagnosed with viral gastroenteritis</w:t>
      </w:r>
      <w:r w:rsidR="007C4A83" w:rsidRPr="007C4A83">
        <w:rPr>
          <w:rFonts w:asciiTheme="minorHAnsi" w:hAnsiTheme="minorHAnsi" w:cstheme="minorHAnsi"/>
          <w:color w:val="000000" w:themeColor="text1"/>
          <w:sz w:val="24"/>
          <w:szCs w:val="24"/>
        </w:rPr>
        <w:t xml:space="preserve"> </w:t>
      </w:r>
      <w:r w:rsidR="007C4A83">
        <w:rPr>
          <w:rFonts w:asciiTheme="minorHAnsi" w:hAnsiTheme="minorHAnsi" w:cstheme="minorHAnsi"/>
          <w:color w:val="000000" w:themeColor="text1"/>
          <w:sz w:val="24"/>
          <w:szCs w:val="24"/>
        </w:rPr>
        <w:t xml:space="preserve">by </w:t>
      </w:r>
      <w:r w:rsidR="007C4A83" w:rsidRPr="008501AC">
        <w:rPr>
          <w:rFonts w:asciiTheme="minorHAnsi" w:hAnsiTheme="minorHAnsi" w:cstheme="minorHAnsi"/>
          <w:color w:val="000000" w:themeColor="text1"/>
          <w:sz w:val="24"/>
          <w:szCs w:val="24"/>
        </w:rPr>
        <w:t>a doctor</w:t>
      </w:r>
      <w:r w:rsidR="007C4A83">
        <w:rPr>
          <w:rFonts w:asciiTheme="minorHAnsi" w:hAnsiTheme="minorHAnsi" w:cstheme="minorHAnsi"/>
          <w:color w:val="000000" w:themeColor="text1"/>
          <w:sz w:val="24"/>
          <w:szCs w:val="24"/>
        </w:rPr>
        <w:t xml:space="preserve">) </w:t>
      </w:r>
      <w:r w:rsidRPr="008501AC">
        <w:rPr>
          <w:rFonts w:asciiTheme="minorHAnsi" w:hAnsiTheme="minorHAnsi" w:cstheme="minorHAnsi"/>
          <w:color w:val="000000" w:themeColor="text1"/>
          <w:sz w:val="24"/>
          <w:szCs w:val="24"/>
        </w:rPr>
        <w:t>in which all of the following three items</w:t>
      </w:r>
      <w:r w:rsidR="007C4A83" w:rsidRPr="008501AC">
        <w:rPr>
          <w:rFonts w:asciiTheme="minorHAnsi" w:hAnsiTheme="minorHAnsi" w:cstheme="minorHAnsi"/>
          <w:color w:val="000000" w:themeColor="text1"/>
          <w:sz w:val="24"/>
          <w:szCs w:val="24"/>
        </w:rPr>
        <w:t xml:space="preserve"> </w:t>
      </w:r>
      <w:r w:rsidRPr="008501AC">
        <w:rPr>
          <w:rFonts w:asciiTheme="minorHAnsi" w:hAnsiTheme="minorHAnsi" w:cstheme="minorHAnsi"/>
          <w:color w:val="000000" w:themeColor="text1"/>
          <w:sz w:val="24"/>
          <w:szCs w:val="24"/>
        </w:rPr>
        <w:t xml:space="preserve">were satisfied was </w:t>
      </w:r>
      <w:r w:rsidR="00CE51BF">
        <w:rPr>
          <w:rFonts w:asciiTheme="minorHAnsi" w:hAnsiTheme="minorHAnsi" w:cstheme="minorHAnsi"/>
          <w:color w:val="000000" w:themeColor="text1"/>
          <w:sz w:val="24"/>
          <w:szCs w:val="24"/>
        </w:rPr>
        <w:t>included in</w:t>
      </w:r>
      <w:r w:rsidRPr="008501AC">
        <w:rPr>
          <w:rFonts w:asciiTheme="minorHAnsi" w:hAnsiTheme="minorHAnsi" w:cstheme="minorHAnsi"/>
          <w:color w:val="000000" w:themeColor="text1"/>
          <w:sz w:val="24"/>
          <w:szCs w:val="24"/>
        </w:rPr>
        <w:t xml:space="preserve"> a control group.</w:t>
      </w:r>
    </w:p>
    <w:p w14:paraId="034E8850" w14:textId="50BAC7B1" w:rsidR="007912FB" w:rsidRPr="008501AC" w:rsidRDefault="007912FB" w:rsidP="00606815">
      <w:pPr>
        <w:numPr>
          <w:ilvl w:val="0"/>
          <w:numId w:val="5"/>
        </w:numPr>
        <w:spacing w:line="360" w:lineRule="auto"/>
        <w:rPr>
          <w:rFonts w:asciiTheme="minorHAnsi" w:hAnsiTheme="minorHAnsi" w:cstheme="minorHAnsi"/>
          <w:color w:val="000000" w:themeColor="text1"/>
          <w:sz w:val="24"/>
          <w:szCs w:val="24"/>
        </w:rPr>
      </w:pPr>
      <w:r w:rsidRPr="008501AC">
        <w:rPr>
          <w:rFonts w:asciiTheme="minorHAnsi" w:hAnsiTheme="minorHAnsi" w:cstheme="minorHAnsi"/>
          <w:color w:val="000000" w:themeColor="text1"/>
          <w:sz w:val="24"/>
          <w:szCs w:val="24"/>
        </w:rPr>
        <w:t>Watery diarrhea is shown after vomiting, and the symptoms improve after a few days with fluid therapy alone.</w:t>
      </w:r>
    </w:p>
    <w:p w14:paraId="76D02A4B" w14:textId="288BBC13" w:rsidR="007912FB" w:rsidRPr="008501AC" w:rsidRDefault="007912FB" w:rsidP="00606815">
      <w:pPr>
        <w:numPr>
          <w:ilvl w:val="0"/>
          <w:numId w:val="5"/>
        </w:numPr>
        <w:spacing w:line="360" w:lineRule="auto"/>
        <w:rPr>
          <w:rFonts w:asciiTheme="minorHAnsi" w:hAnsiTheme="minorHAnsi" w:cstheme="minorHAnsi"/>
          <w:color w:val="000000" w:themeColor="text1"/>
          <w:sz w:val="24"/>
          <w:szCs w:val="24"/>
        </w:rPr>
      </w:pPr>
      <w:r w:rsidRPr="008501AC">
        <w:rPr>
          <w:rFonts w:asciiTheme="minorHAnsi" w:hAnsiTheme="minorHAnsi" w:cstheme="minorHAnsi"/>
          <w:color w:val="000000" w:themeColor="text1"/>
          <w:sz w:val="24"/>
          <w:szCs w:val="24"/>
        </w:rPr>
        <w:t>A fecal culture test is performed and no bacteria that cause bacterial enteritis are detected.</w:t>
      </w:r>
    </w:p>
    <w:p w14:paraId="2AF37929" w14:textId="1CB4A47C" w:rsidR="007912FB" w:rsidRPr="008501AC" w:rsidRDefault="007912FB" w:rsidP="00606815">
      <w:pPr>
        <w:numPr>
          <w:ilvl w:val="0"/>
          <w:numId w:val="5"/>
        </w:numPr>
        <w:spacing w:line="360" w:lineRule="auto"/>
        <w:rPr>
          <w:rFonts w:asciiTheme="minorHAnsi" w:hAnsiTheme="minorHAnsi" w:cstheme="minorHAnsi"/>
          <w:color w:val="000000" w:themeColor="text1"/>
          <w:sz w:val="24"/>
          <w:szCs w:val="24"/>
        </w:rPr>
      </w:pPr>
      <w:r w:rsidRPr="008501AC">
        <w:rPr>
          <w:rFonts w:asciiTheme="minorHAnsi" w:hAnsiTheme="minorHAnsi" w:cstheme="minorHAnsi"/>
          <w:color w:val="000000" w:themeColor="text1"/>
          <w:sz w:val="24"/>
          <w:szCs w:val="24"/>
        </w:rPr>
        <w:t>Blood</w:t>
      </w:r>
      <w:r w:rsidR="00EB080F">
        <w:rPr>
          <w:rFonts w:asciiTheme="minorHAnsi" w:hAnsiTheme="minorHAnsi" w:cstheme="minorHAnsi"/>
          <w:color w:val="000000" w:themeColor="text1"/>
          <w:sz w:val="24"/>
          <w:szCs w:val="24"/>
        </w:rPr>
        <w:t xml:space="preserve"> and</w:t>
      </w:r>
      <w:r w:rsidR="00EB080F" w:rsidRPr="008501AC">
        <w:rPr>
          <w:rFonts w:asciiTheme="minorHAnsi" w:hAnsiTheme="minorHAnsi" w:cstheme="minorHAnsi"/>
          <w:color w:val="000000" w:themeColor="text1"/>
          <w:sz w:val="24"/>
          <w:szCs w:val="24"/>
        </w:rPr>
        <w:t xml:space="preserve"> </w:t>
      </w:r>
      <w:r w:rsidRPr="008501AC">
        <w:rPr>
          <w:rFonts w:asciiTheme="minorHAnsi" w:hAnsiTheme="minorHAnsi" w:cstheme="minorHAnsi"/>
          <w:color w:val="000000" w:themeColor="text1"/>
          <w:sz w:val="24"/>
          <w:szCs w:val="24"/>
        </w:rPr>
        <w:t>urine</w:t>
      </w:r>
      <w:r w:rsidR="00EB080F">
        <w:rPr>
          <w:rFonts w:asciiTheme="minorHAnsi" w:hAnsiTheme="minorHAnsi" w:cstheme="minorHAnsi"/>
          <w:color w:val="000000" w:themeColor="text1"/>
          <w:sz w:val="24"/>
          <w:szCs w:val="24"/>
        </w:rPr>
        <w:t xml:space="preserve"> tests</w:t>
      </w:r>
      <w:r w:rsidRPr="008501AC">
        <w:rPr>
          <w:rFonts w:asciiTheme="minorHAnsi" w:hAnsiTheme="minorHAnsi" w:cstheme="minorHAnsi"/>
          <w:color w:val="000000" w:themeColor="text1"/>
          <w:sz w:val="24"/>
          <w:szCs w:val="24"/>
        </w:rPr>
        <w:t>, ultrasonography</w:t>
      </w:r>
      <w:r w:rsidR="00BA508E">
        <w:rPr>
          <w:rFonts w:asciiTheme="minorHAnsi" w:hAnsiTheme="minorHAnsi" w:cstheme="minorHAnsi"/>
          <w:color w:val="000000" w:themeColor="text1"/>
          <w:sz w:val="24"/>
          <w:szCs w:val="24"/>
        </w:rPr>
        <w:t>,</w:t>
      </w:r>
      <w:r w:rsidRPr="008501AC">
        <w:rPr>
          <w:rFonts w:asciiTheme="minorHAnsi" w:hAnsiTheme="minorHAnsi" w:cstheme="minorHAnsi"/>
          <w:color w:val="000000" w:themeColor="text1"/>
          <w:sz w:val="24"/>
          <w:szCs w:val="24"/>
        </w:rPr>
        <w:t xml:space="preserve"> and X-ray rule out all other </w:t>
      </w:r>
      <w:r w:rsidR="002E0899">
        <w:rPr>
          <w:rFonts w:asciiTheme="minorHAnsi" w:hAnsiTheme="minorHAnsi" w:cstheme="minorHAnsi"/>
          <w:color w:val="000000" w:themeColor="text1"/>
          <w:sz w:val="24"/>
          <w:szCs w:val="24"/>
        </w:rPr>
        <w:t>d</w:t>
      </w:r>
      <w:r w:rsidR="002E0899" w:rsidRPr="002E0899">
        <w:rPr>
          <w:rFonts w:asciiTheme="minorHAnsi" w:hAnsiTheme="minorHAnsi" w:cstheme="minorHAnsi"/>
          <w:color w:val="000000" w:themeColor="text1"/>
          <w:sz w:val="24"/>
          <w:szCs w:val="24"/>
        </w:rPr>
        <w:t>iseases</w:t>
      </w:r>
      <w:r w:rsidRPr="008501AC">
        <w:rPr>
          <w:rFonts w:asciiTheme="minorHAnsi" w:hAnsiTheme="minorHAnsi" w:cstheme="minorHAnsi"/>
          <w:color w:val="000000" w:themeColor="text1"/>
          <w:sz w:val="24"/>
          <w:szCs w:val="24"/>
        </w:rPr>
        <w:t>.</w:t>
      </w:r>
    </w:p>
    <w:p w14:paraId="597BD250" w14:textId="610BFBFB" w:rsidR="007912FB" w:rsidRDefault="00CE51BF" w:rsidP="00425708">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7912FB" w:rsidRPr="008501AC">
        <w:rPr>
          <w:rFonts w:asciiTheme="minorHAnsi" w:hAnsiTheme="minorHAnsi" w:cstheme="minorHAnsi"/>
          <w:color w:val="000000" w:themeColor="text1"/>
          <w:sz w:val="24"/>
          <w:szCs w:val="24"/>
        </w:rPr>
        <w:t xml:space="preserve"> fecal norovirus/rotavirus antigen test was performed</w:t>
      </w:r>
      <w:r>
        <w:rPr>
          <w:rFonts w:asciiTheme="minorHAnsi" w:hAnsiTheme="minorHAnsi" w:cstheme="minorHAnsi"/>
          <w:color w:val="000000" w:themeColor="text1"/>
          <w:sz w:val="24"/>
          <w:szCs w:val="24"/>
        </w:rPr>
        <w:t xml:space="preserve"> to determine </w:t>
      </w:r>
      <w:r w:rsidR="002E0899" w:rsidRPr="008501AC">
        <w:rPr>
          <w:rFonts w:asciiTheme="minorHAnsi" w:hAnsiTheme="minorHAnsi" w:cstheme="minorHAnsi"/>
          <w:color w:val="000000" w:themeColor="text1"/>
          <w:sz w:val="24"/>
          <w:szCs w:val="24"/>
        </w:rPr>
        <w:t>norovirus/rotavirus</w:t>
      </w:r>
      <w:r w:rsidR="002E0899" w:rsidRPr="008C19F8" w:rsidDel="002E0899">
        <w:rPr>
          <w:rFonts w:asciiTheme="minorHAnsi" w:hAnsiTheme="minorHAnsi" w:cstheme="minorHAnsi"/>
          <w:color w:val="000000" w:themeColor="text1"/>
          <w:sz w:val="24"/>
          <w:szCs w:val="24"/>
        </w:rPr>
        <w:t xml:space="preserve"> </w:t>
      </w:r>
      <w:r w:rsidRPr="00606815">
        <w:rPr>
          <w:rFonts w:asciiTheme="minorHAnsi" w:hAnsiTheme="minorHAnsi" w:cstheme="minorHAnsi"/>
          <w:color w:val="000000" w:themeColor="text1"/>
          <w:sz w:val="24"/>
          <w:szCs w:val="24"/>
        </w:rPr>
        <w:t>infection</w:t>
      </w:r>
      <w:r w:rsidR="007912FB" w:rsidRPr="008501AC">
        <w:rPr>
          <w:rFonts w:asciiTheme="minorHAnsi" w:hAnsiTheme="minorHAnsi" w:cstheme="minorHAnsi"/>
          <w:color w:val="000000" w:themeColor="text1"/>
          <w:sz w:val="24"/>
          <w:szCs w:val="24"/>
        </w:rPr>
        <w:t>.</w:t>
      </w:r>
    </w:p>
    <w:p w14:paraId="41253FF7" w14:textId="77777777" w:rsidR="002E0899" w:rsidRPr="008501AC" w:rsidRDefault="002E0899" w:rsidP="00425708">
      <w:pPr>
        <w:spacing w:line="360" w:lineRule="auto"/>
        <w:rPr>
          <w:rFonts w:asciiTheme="minorHAnsi" w:hAnsiTheme="minorHAnsi" w:cstheme="minorHAnsi"/>
          <w:color w:val="000000" w:themeColor="text1"/>
          <w:sz w:val="24"/>
          <w:szCs w:val="24"/>
        </w:rPr>
      </w:pPr>
    </w:p>
    <w:p w14:paraId="2BC6995C" w14:textId="77777777" w:rsidR="00425708" w:rsidRPr="008501AC" w:rsidRDefault="00425708" w:rsidP="00425708">
      <w:pPr>
        <w:pStyle w:val="Standardunter5"/>
        <w:spacing w:line="360" w:lineRule="auto"/>
        <w:ind w:left="0"/>
        <w:rPr>
          <w:rFonts w:asciiTheme="minorHAnsi" w:hAnsiTheme="minorHAnsi" w:cstheme="minorHAnsi"/>
          <w:b/>
          <w:bCs/>
          <w:color w:val="000000" w:themeColor="text1"/>
          <w:sz w:val="24"/>
          <w:szCs w:val="24"/>
        </w:rPr>
      </w:pPr>
      <w:r w:rsidRPr="008501AC">
        <w:rPr>
          <w:rFonts w:asciiTheme="minorHAnsi" w:hAnsiTheme="minorHAnsi" w:cstheme="minorHAnsi"/>
          <w:b/>
          <w:bCs/>
          <w:color w:val="000000" w:themeColor="text1"/>
          <w:sz w:val="24"/>
          <w:szCs w:val="24"/>
        </w:rPr>
        <w:t>ROC analysis</w:t>
      </w:r>
    </w:p>
    <w:p w14:paraId="0D15914D" w14:textId="77777777" w:rsidR="00425708" w:rsidRPr="008501AC" w:rsidRDefault="00425708" w:rsidP="00425708">
      <w:pPr>
        <w:pStyle w:val="Standardunter5"/>
        <w:spacing w:line="360" w:lineRule="auto"/>
        <w:ind w:left="0"/>
        <w:rPr>
          <w:rFonts w:asciiTheme="minorHAnsi" w:hAnsiTheme="minorHAnsi" w:cstheme="minorHAnsi"/>
          <w:color w:val="000000" w:themeColor="text1"/>
          <w:sz w:val="24"/>
          <w:szCs w:val="24"/>
        </w:rPr>
      </w:pPr>
      <w:r w:rsidRPr="008501AC">
        <w:rPr>
          <w:rFonts w:asciiTheme="minorHAnsi" w:eastAsia="Times New Roman" w:hAnsiTheme="minorHAnsi" w:cstheme="minorHAnsi"/>
          <w:b/>
          <w:bCs/>
          <w:color w:val="000000" w:themeColor="text1"/>
          <w:sz w:val="24"/>
          <w:szCs w:val="24"/>
          <w:lang w:eastAsia="de-CH"/>
        </w:rPr>
        <w:t>Methods</w:t>
      </w:r>
    </w:p>
    <w:p w14:paraId="0F73E043" w14:textId="073B9B70" w:rsidR="00425708" w:rsidRPr="008501AC" w:rsidRDefault="00425708" w:rsidP="00425708">
      <w:pPr>
        <w:pStyle w:val="Standardunter5"/>
        <w:spacing w:line="360" w:lineRule="auto"/>
        <w:ind w:left="0"/>
        <w:rPr>
          <w:rFonts w:asciiTheme="minorHAnsi" w:hAnsiTheme="minorHAnsi" w:cstheme="minorHAnsi"/>
          <w:color w:val="000000" w:themeColor="text1"/>
          <w:sz w:val="24"/>
          <w:szCs w:val="24"/>
          <w:lang w:eastAsia="de-CH"/>
        </w:rPr>
      </w:pPr>
      <w:r w:rsidRPr="008501AC">
        <w:rPr>
          <w:rFonts w:asciiTheme="minorHAnsi" w:hAnsiTheme="minorHAnsi" w:cstheme="minorHAnsi"/>
          <w:color w:val="000000" w:themeColor="text1"/>
          <w:sz w:val="24"/>
          <w:szCs w:val="24"/>
          <w:lang w:eastAsia="de-CH"/>
        </w:rPr>
        <w:t xml:space="preserve">For serum TARC and modified TARC values, an ROC analysis was conducted with the differentiation between FPIES and infectious gastroenteritis as the index. The area under the curve (AUC) was evaluated, and the sensitivity and specificity </w:t>
      </w:r>
      <w:r w:rsidR="001417CD">
        <w:rPr>
          <w:rFonts w:asciiTheme="minorHAnsi" w:hAnsiTheme="minorHAnsi" w:cstheme="minorHAnsi"/>
          <w:color w:val="000000" w:themeColor="text1"/>
          <w:sz w:val="24"/>
          <w:szCs w:val="24"/>
          <w:lang w:eastAsia="de-CH"/>
        </w:rPr>
        <w:t>of</w:t>
      </w:r>
      <w:r w:rsidR="001417CD" w:rsidRPr="008501AC">
        <w:rPr>
          <w:rFonts w:asciiTheme="minorHAnsi" w:hAnsiTheme="minorHAnsi" w:cstheme="minorHAnsi"/>
          <w:color w:val="000000" w:themeColor="text1"/>
          <w:sz w:val="24"/>
          <w:szCs w:val="24"/>
          <w:lang w:eastAsia="de-CH"/>
        </w:rPr>
        <w:t xml:space="preserve"> </w:t>
      </w:r>
      <w:r w:rsidRPr="008501AC">
        <w:rPr>
          <w:rFonts w:asciiTheme="minorHAnsi" w:hAnsiTheme="minorHAnsi" w:cstheme="minorHAnsi"/>
          <w:color w:val="000000" w:themeColor="text1"/>
          <w:sz w:val="24"/>
          <w:szCs w:val="24"/>
          <w:lang w:eastAsia="de-CH"/>
        </w:rPr>
        <w:t>the cutoff value</w:t>
      </w:r>
      <w:r w:rsidR="007C4A83">
        <w:rPr>
          <w:rFonts w:asciiTheme="minorHAnsi" w:hAnsiTheme="minorHAnsi" w:cstheme="minorHAnsi"/>
          <w:color w:val="000000" w:themeColor="text1"/>
          <w:sz w:val="24"/>
          <w:szCs w:val="24"/>
          <w:lang w:eastAsia="de-CH"/>
        </w:rPr>
        <w:t>s</w:t>
      </w:r>
      <w:r w:rsidRPr="008501AC">
        <w:rPr>
          <w:rFonts w:asciiTheme="minorHAnsi" w:hAnsiTheme="minorHAnsi" w:cstheme="minorHAnsi"/>
          <w:color w:val="000000" w:themeColor="text1"/>
          <w:sz w:val="24"/>
          <w:szCs w:val="24"/>
          <w:lang w:eastAsia="de-CH"/>
        </w:rPr>
        <w:t xml:space="preserve"> were determined. The diagnosis of FPIES and the post-emetic serum TARC levels were analyzed </w:t>
      </w:r>
      <w:r w:rsidRPr="008501AC">
        <w:rPr>
          <w:rFonts w:asciiTheme="minorHAnsi" w:hAnsiTheme="minorHAnsi" w:cstheme="minorHAnsi"/>
          <w:color w:val="000000" w:themeColor="text1"/>
          <w:sz w:val="24"/>
          <w:szCs w:val="24"/>
          <w:lang w:eastAsia="de-CH"/>
        </w:rPr>
        <w:lastRenderedPageBreak/>
        <w:t xml:space="preserve">using logistic regression analysis. All statistical analyses were conducted using the EZR 1.33 software (Saitama Medical Center, </w:t>
      </w:r>
      <w:proofErr w:type="spellStart"/>
      <w:r w:rsidRPr="008501AC">
        <w:rPr>
          <w:rFonts w:asciiTheme="minorHAnsi" w:hAnsiTheme="minorHAnsi" w:cstheme="minorHAnsi"/>
          <w:color w:val="000000" w:themeColor="text1"/>
          <w:sz w:val="24"/>
          <w:szCs w:val="24"/>
          <w:lang w:eastAsia="de-CH"/>
        </w:rPr>
        <w:t>Jichi</w:t>
      </w:r>
      <w:proofErr w:type="spellEnd"/>
      <w:r w:rsidRPr="008501AC">
        <w:rPr>
          <w:rFonts w:asciiTheme="minorHAnsi" w:hAnsiTheme="minorHAnsi" w:cstheme="minorHAnsi"/>
          <w:color w:val="000000" w:themeColor="text1"/>
          <w:sz w:val="24"/>
          <w:szCs w:val="24"/>
          <w:lang w:eastAsia="de-CH"/>
        </w:rPr>
        <w:t xml:space="preserve"> Medical University, Saitama, Japan).</w:t>
      </w:r>
    </w:p>
    <w:p w14:paraId="2153470A" w14:textId="77777777" w:rsidR="00425708" w:rsidRPr="008501AC" w:rsidRDefault="00425708" w:rsidP="00425708">
      <w:pPr>
        <w:pStyle w:val="Standardunter5"/>
        <w:spacing w:line="360" w:lineRule="auto"/>
        <w:ind w:left="0"/>
        <w:rPr>
          <w:rFonts w:asciiTheme="minorHAnsi" w:hAnsiTheme="minorHAnsi" w:cstheme="minorHAnsi"/>
          <w:color w:val="000000" w:themeColor="text1"/>
          <w:sz w:val="24"/>
          <w:szCs w:val="24"/>
        </w:rPr>
      </w:pPr>
      <w:r w:rsidRPr="008501AC">
        <w:rPr>
          <w:rFonts w:asciiTheme="minorHAnsi" w:eastAsia="Times New Roman" w:hAnsiTheme="minorHAnsi" w:cstheme="minorHAnsi"/>
          <w:b/>
          <w:bCs/>
          <w:color w:val="000000" w:themeColor="text1"/>
          <w:sz w:val="24"/>
          <w:szCs w:val="24"/>
          <w:lang w:eastAsia="de-CH"/>
        </w:rPr>
        <w:t>Results</w:t>
      </w:r>
    </w:p>
    <w:p w14:paraId="12D90C59" w14:textId="29335E85" w:rsidR="00425708" w:rsidRPr="008501AC" w:rsidRDefault="00425708" w:rsidP="00425708">
      <w:pPr>
        <w:pStyle w:val="Standardunter5"/>
        <w:spacing w:line="360" w:lineRule="auto"/>
        <w:ind w:left="0"/>
        <w:rPr>
          <w:rFonts w:asciiTheme="minorHAnsi" w:hAnsiTheme="minorHAnsi" w:cstheme="minorHAnsi"/>
          <w:color w:val="000000" w:themeColor="text1"/>
          <w:sz w:val="24"/>
          <w:szCs w:val="24"/>
        </w:rPr>
      </w:pPr>
      <w:r w:rsidRPr="008501AC">
        <w:rPr>
          <w:rFonts w:asciiTheme="minorHAnsi" w:hAnsiTheme="minorHAnsi" w:cstheme="minorHAnsi"/>
          <w:color w:val="000000" w:themeColor="text1"/>
          <w:sz w:val="24"/>
          <w:szCs w:val="24"/>
        </w:rPr>
        <w:t>The results of the ROC analysis of the serum and modified TARC levels</w:t>
      </w:r>
      <w:r w:rsidR="009F38B5">
        <w:rPr>
          <w:rFonts w:asciiTheme="minorHAnsi" w:hAnsiTheme="minorHAnsi" w:cstheme="minorHAnsi"/>
          <w:color w:val="000000" w:themeColor="text1"/>
          <w:sz w:val="24"/>
          <w:szCs w:val="24"/>
        </w:rPr>
        <w:t xml:space="preserve"> </w:t>
      </w:r>
      <w:r w:rsidRPr="008501AC">
        <w:rPr>
          <w:rFonts w:asciiTheme="minorHAnsi" w:hAnsiTheme="minorHAnsi" w:cstheme="minorHAnsi"/>
          <w:color w:val="000000" w:themeColor="text1"/>
          <w:sz w:val="24"/>
          <w:szCs w:val="24"/>
        </w:rPr>
        <w:t xml:space="preserve">are shown in Figure </w:t>
      </w:r>
      <w:r w:rsidR="00365221">
        <w:rPr>
          <w:rFonts w:asciiTheme="minorHAnsi" w:hAnsiTheme="minorHAnsi" w:cstheme="minorHAnsi"/>
          <w:color w:val="000000" w:themeColor="text1"/>
          <w:sz w:val="24"/>
          <w:szCs w:val="24"/>
        </w:rPr>
        <w:t>E2</w:t>
      </w:r>
      <w:r w:rsidRPr="008501AC">
        <w:rPr>
          <w:rFonts w:asciiTheme="minorHAnsi" w:hAnsiTheme="minorHAnsi" w:cstheme="minorHAnsi"/>
          <w:color w:val="000000" w:themeColor="text1"/>
          <w:sz w:val="24"/>
          <w:szCs w:val="24"/>
        </w:rPr>
        <w:t>. The AUC</w:t>
      </w:r>
      <w:r w:rsidR="008851FC">
        <w:rPr>
          <w:rFonts w:asciiTheme="minorHAnsi" w:hAnsiTheme="minorHAnsi" w:cstheme="minorHAnsi"/>
          <w:color w:val="000000" w:themeColor="text1"/>
          <w:sz w:val="24"/>
          <w:szCs w:val="24"/>
        </w:rPr>
        <w:t>s</w:t>
      </w:r>
      <w:r w:rsidRPr="008501AC">
        <w:rPr>
          <w:rFonts w:asciiTheme="minorHAnsi" w:hAnsiTheme="minorHAnsi" w:cstheme="minorHAnsi"/>
          <w:color w:val="000000" w:themeColor="text1"/>
          <w:sz w:val="24"/>
          <w:szCs w:val="24"/>
        </w:rPr>
        <w:t xml:space="preserve"> for serum and modified TARC levels were 0.968 (95% CI 0.914–1.000) and 0.957 (95% CI 0.893–1.000), with a specificity of 88.2% and 88.2% and sensitivity of 100% and 90.9% at cutoff value</w:t>
      </w:r>
      <w:r w:rsidR="00533857">
        <w:rPr>
          <w:rFonts w:asciiTheme="minorHAnsi" w:hAnsiTheme="minorHAnsi" w:cstheme="minorHAnsi"/>
          <w:color w:val="000000" w:themeColor="text1"/>
          <w:sz w:val="24"/>
          <w:szCs w:val="24"/>
        </w:rPr>
        <w:t>s</w:t>
      </w:r>
      <w:r w:rsidRPr="008501AC">
        <w:rPr>
          <w:rFonts w:asciiTheme="minorHAnsi" w:hAnsiTheme="minorHAnsi" w:cstheme="minorHAnsi"/>
          <w:color w:val="000000" w:themeColor="text1"/>
          <w:sz w:val="24"/>
          <w:szCs w:val="24"/>
        </w:rPr>
        <w:t xml:space="preserve"> of 1062 and 584 </w:t>
      </w:r>
      <w:proofErr w:type="spellStart"/>
      <w:r w:rsidRPr="008501AC">
        <w:rPr>
          <w:rFonts w:asciiTheme="minorHAnsi" w:hAnsiTheme="minorHAnsi" w:cstheme="minorHAnsi"/>
          <w:color w:val="000000" w:themeColor="text1"/>
          <w:sz w:val="24"/>
          <w:szCs w:val="24"/>
        </w:rPr>
        <w:t>pg</w:t>
      </w:r>
      <w:proofErr w:type="spellEnd"/>
      <w:r w:rsidRPr="008501AC">
        <w:rPr>
          <w:rFonts w:asciiTheme="minorHAnsi" w:hAnsiTheme="minorHAnsi" w:cstheme="minorHAnsi"/>
          <w:color w:val="000000" w:themeColor="text1"/>
          <w:sz w:val="24"/>
          <w:szCs w:val="24"/>
        </w:rPr>
        <w:t>/mL (Youden Index), respectively.</w:t>
      </w:r>
    </w:p>
    <w:p w14:paraId="2BBB7146" w14:textId="67F68CE9" w:rsidR="00425708" w:rsidRDefault="00533857" w:rsidP="00425708">
      <w:pPr>
        <w:pStyle w:val="Standardunter5"/>
        <w:spacing w:line="360" w:lineRule="auto"/>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00425708" w:rsidRPr="008501AC">
        <w:rPr>
          <w:rFonts w:asciiTheme="minorHAnsi" w:hAnsiTheme="minorHAnsi" w:cstheme="minorHAnsi"/>
          <w:color w:val="000000" w:themeColor="text1"/>
          <w:sz w:val="24"/>
          <w:szCs w:val="24"/>
        </w:rPr>
        <w:t>he univariate analysis</w:t>
      </w:r>
      <w:r>
        <w:rPr>
          <w:rFonts w:asciiTheme="minorHAnsi" w:hAnsiTheme="minorHAnsi" w:cstheme="minorHAnsi"/>
          <w:color w:val="000000" w:themeColor="text1"/>
          <w:sz w:val="24"/>
          <w:szCs w:val="24"/>
        </w:rPr>
        <w:t xml:space="preserve"> showed that</w:t>
      </w:r>
      <w:r w:rsidRPr="008501AC">
        <w:rPr>
          <w:rFonts w:asciiTheme="minorHAnsi" w:hAnsiTheme="minorHAnsi" w:cstheme="minorHAnsi"/>
          <w:color w:val="000000" w:themeColor="text1"/>
          <w:sz w:val="24"/>
          <w:szCs w:val="24"/>
        </w:rPr>
        <w:t xml:space="preserve"> </w:t>
      </w:r>
      <w:r w:rsidR="00425708" w:rsidRPr="008501AC">
        <w:rPr>
          <w:rFonts w:asciiTheme="minorHAnsi" w:hAnsiTheme="minorHAnsi" w:cstheme="minorHAnsi"/>
          <w:color w:val="000000" w:themeColor="text1"/>
          <w:sz w:val="24"/>
          <w:szCs w:val="24"/>
        </w:rPr>
        <w:t xml:space="preserve">the post-emetic serum TARC level was a significant factor for the diagnosis of FPIES, and the odds ratio per 1000 </w:t>
      </w:r>
      <w:proofErr w:type="spellStart"/>
      <w:r w:rsidR="00425708" w:rsidRPr="008501AC">
        <w:rPr>
          <w:rFonts w:asciiTheme="minorHAnsi" w:hAnsiTheme="minorHAnsi" w:cstheme="minorHAnsi"/>
          <w:color w:val="000000" w:themeColor="text1"/>
          <w:sz w:val="24"/>
          <w:szCs w:val="24"/>
        </w:rPr>
        <w:t>pg</w:t>
      </w:r>
      <w:proofErr w:type="spellEnd"/>
      <w:r w:rsidR="00425708" w:rsidRPr="008501AC">
        <w:rPr>
          <w:rFonts w:asciiTheme="minorHAnsi" w:hAnsiTheme="minorHAnsi" w:cstheme="minorHAnsi"/>
          <w:color w:val="000000" w:themeColor="text1"/>
          <w:sz w:val="24"/>
          <w:szCs w:val="24"/>
        </w:rPr>
        <w:t xml:space="preserve">/mL increase was 23.0 (95% CI 2.17–244.0, </w:t>
      </w:r>
      <w:r w:rsidR="00425708" w:rsidRPr="008501AC">
        <w:rPr>
          <w:rFonts w:asciiTheme="minorHAnsi" w:hAnsiTheme="minorHAnsi" w:cstheme="minorHAnsi"/>
          <w:i/>
          <w:iCs/>
          <w:color w:val="000000" w:themeColor="text1"/>
          <w:sz w:val="24"/>
          <w:szCs w:val="24"/>
        </w:rPr>
        <w:t xml:space="preserve">p </w:t>
      </w:r>
      <w:r w:rsidR="00425708" w:rsidRPr="008501AC">
        <w:rPr>
          <w:rFonts w:asciiTheme="minorHAnsi" w:hAnsiTheme="minorHAnsi" w:cstheme="minorHAnsi"/>
          <w:color w:val="000000" w:themeColor="text1"/>
          <w:sz w:val="24"/>
          <w:szCs w:val="24"/>
        </w:rPr>
        <w:t xml:space="preserve">= 0.009). In the multivariate analysis adjusted by age, which tended to be lower in the FPIES group than in the control group, the serum TARC level was </w:t>
      </w:r>
      <w:r>
        <w:rPr>
          <w:rFonts w:asciiTheme="minorHAnsi" w:hAnsiTheme="minorHAnsi" w:cstheme="minorHAnsi"/>
          <w:color w:val="000000" w:themeColor="text1"/>
          <w:sz w:val="24"/>
          <w:szCs w:val="24"/>
        </w:rPr>
        <w:t>also</w:t>
      </w:r>
      <w:r w:rsidRPr="008501AC">
        <w:rPr>
          <w:rFonts w:asciiTheme="minorHAnsi" w:hAnsiTheme="minorHAnsi" w:cstheme="minorHAnsi"/>
          <w:color w:val="000000" w:themeColor="text1"/>
          <w:sz w:val="24"/>
          <w:szCs w:val="24"/>
        </w:rPr>
        <w:t xml:space="preserve"> </w:t>
      </w:r>
      <w:r w:rsidR="00425708" w:rsidRPr="008501AC">
        <w:rPr>
          <w:rFonts w:asciiTheme="minorHAnsi" w:hAnsiTheme="minorHAnsi" w:cstheme="minorHAnsi"/>
          <w:color w:val="000000" w:themeColor="text1"/>
          <w:sz w:val="24"/>
          <w:szCs w:val="24"/>
        </w:rPr>
        <w:t xml:space="preserve">a significant factor, and the adjusted odds ratio per 1000 </w:t>
      </w:r>
      <w:proofErr w:type="spellStart"/>
      <w:r w:rsidR="00425708" w:rsidRPr="008501AC">
        <w:rPr>
          <w:rFonts w:asciiTheme="minorHAnsi" w:hAnsiTheme="minorHAnsi" w:cstheme="minorHAnsi"/>
          <w:color w:val="000000" w:themeColor="text1"/>
          <w:sz w:val="24"/>
          <w:szCs w:val="24"/>
        </w:rPr>
        <w:t>pg</w:t>
      </w:r>
      <w:proofErr w:type="spellEnd"/>
      <w:r w:rsidR="00425708" w:rsidRPr="008501AC">
        <w:rPr>
          <w:rFonts w:asciiTheme="minorHAnsi" w:hAnsiTheme="minorHAnsi" w:cstheme="minorHAnsi"/>
          <w:color w:val="000000" w:themeColor="text1"/>
          <w:sz w:val="24"/>
          <w:szCs w:val="24"/>
        </w:rPr>
        <w:t xml:space="preserve">/mL increase was 17.6 (95% CI 2.02–153.0, </w:t>
      </w:r>
      <w:r w:rsidR="00425708" w:rsidRPr="008501AC">
        <w:rPr>
          <w:rFonts w:asciiTheme="minorHAnsi" w:hAnsiTheme="minorHAnsi" w:cstheme="minorHAnsi"/>
          <w:i/>
          <w:iCs/>
          <w:color w:val="000000" w:themeColor="text1"/>
          <w:sz w:val="24"/>
          <w:szCs w:val="24"/>
        </w:rPr>
        <w:t xml:space="preserve">p </w:t>
      </w:r>
      <w:r w:rsidR="00425708" w:rsidRPr="008501AC">
        <w:rPr>
          <w:rFonts w:asciiTheme="minorHAnsi" w:hAnsiTheme="minorHAnsi" w:cstheme="minorHAnsi"/>
          <w:color w:val="000000" w:themeColor="text1"/>
          <w:sz w:val="24"/>
          <w:szCs w:val="24"/>
        </w:rPr>
        <w:t>= 0.009).</w:t>
      </w:r>
    </w:p>
    <w:p w14:paraId="7888ABF2" w14:textId="77777777" w:rsidR="004B6784" w:rsidRDefault="004B6784" w:rsidP="00425708">
      <w:pPr>
        <w:pStyle w:val="Standardunter5"/>
        <w:spacing w:line="360" w:lineRule="auto"/>
        <w:ind w:left="0"/>
        <w:rPr>
          <w:rFonts w:asciiTheme="minorHAnsi" w:hAnsiTheme="minorHAnsi" w:cstheme="minorHAnsi"/>
          <w:color w:val="000000" w:themeColor="text1"/>
          <w:sz w:val="24"/>
          <w:szCs w:val="24"/>
        </w:rPr>
      </w:pPr>
    </w:p>
    <w:p w14:paraId="3C2CB603" w14:textId="7609CDB2" w:rsidR="00AF5E07" w:rsidRPr="00606815" w:rsidRDefault="00AF5E07" w:rsidP="00425708">
      <w:pPr>
        <w:pStyle w:val="Standardunter5"/>
        <w:spacing w:line="360" w:lineRule="auto"/>
        <w:ind w:left="0"/>
        <w:rPr>
          <w:rFonts w:asciiTheme="minorHAnsi" w:hAnsiTheme="minorHAnsi" w:cstheme="minorHAnsi"/>
          <w:b/>
          <w:bCs/>
          <w:color w:val="000000" w:themeColor="text1"/>
          <w:sz w:val="24"/>
          <w:szCs w:val="24"/>
        </w:rPr>
      </w:pPr>
      <w:r w:rsidRPr="00606815">
        <w:rPr>
          <w:rFonts w:asciiTheme="minorHAnsi" w:hAnsiTheme="minorHAnsi" w:cstheme="minorHAnsi"/>
          <w:b/>
          <w:bCs/>
          <w:color w:val="000000" w:themeColor="text1"/>
          <w:sz w:val="24"/>
          <w:szCs w:val="24"/>
        </w:rPr>
        <w:t>References</w:t>
      </w:r>
    </w:p>
    <w:p w14:paraId="1D4AED7C" w14:textId="1F81FC69" w:rsidR="00AF5E07" w:rsidRDefault="00AF5E07" w:rsidP="00606815">
      <w:pPr>
        <w:pStyle w:val="Standardunter5"/>
        <w:numPr>
          <w:ilvl w:val="0"/>
          <w:numId w:val="4"/>
        </w:numPr>
        <w:spacing w:before="0" w:line="360" w:lineRule="auto"/>
        <w:rPr>
          <w:rFonts w:eastAsia="Times New Roman"/>
          <w:color w:val="000000" w:themeColor="text1"/>
          <w:sz w:val="24"/>
          <w:szCs w:val="24"/>
          <w:lang w:eastAsia="en-GB"/>
        </w:rPr>
      </w:pPr>
      <w:r w:rsidRPr="008501AC">
        <w:rPr>
          <w:rFonts w:eastAsia="Times New Roman"/>
          <w:color w:val="000000" w:themeColor="text1"/>
          <w:sz w:val="24"/>
          <w:szCs w:val="24"/>
          <w:lang w:eastAsia="en-GB"/>
        </w:rPr>
        <w:t>Nowak-</w:t>
      </w:r>
      <w:proofErr w:type="spellStart"/>
      <w:r w:rsidRPr="008501AC">
        <w:rPr>
          <w:rFonts w:eastAsia="Times New Roman"/>
          <w:color w:val="000000" w:themeColor="text1"/>
          <w:sz w:val="24"/>
          <w:szCs w:val="24"/>
          <w:lang w:eastAsia="en-GB"/>
        </w:rPr>
        <w:t>Węgrzyn</w:t>
      </w:r>
      <w:proofErr w:type="spellEnd"/>
      <w:r w:rsidRPr="008501AC">
        <w:rPr>
          <w:rFonts w:eastAsia="Times New Roman"/>
          <w:color w:val="000000" w:themeColor="text1"/>
          <w:sz w:val="24"/>
          <w:szCs w:val="24"/>
          <w:lang w:eastAsia="en-GB"/>
        </w:rPr>
        <w:t xml:space="preserve"> A, </w:t>
      </w:r>
      <w:proofErr w:type="spellStart"/>
      <w:r w:rsidRPr="008501AC">
        <w:rPr>
          <w:rFonts w:eastAsia="Times New Roman"/>
          <w:color w:val="000000" w:themeColor="text1"/>
          <w:sz w:val="24"/>
          <w:szCs w:val="24"/>
          <w:lang w:eastAsia="en-GB"/>
        </w:rPr>
        <w:t>Chehade</w:t>
      </w:r>
      <w:proofErr w:type="spellEnd"/>
      <w:r w:rsidRPr="008501AC">
        <w:rPr>
          <w:rFonts w:eastAsia="Times New Roman"/>
          <w:color w:val="000000" w:themeColor="text1"/>
          <w:sz w:val="24"/>
          <w:szCs w:val="24"/>
          <w:lang w:eastAsia="en-GB"/>
        </w:rPr>
        <w:t xml:space="preserve"> M, </w:t>
      </w:r>
      <w:proofErr w:type="spellStart"/>
      <w:r w:rsidRPr="008501AC">
        <w:rPr>
          <w:rFonts w:eastAsia="Times New Roman"/>
          <w:color w:val="000000" w:themeColor="text1"/>
          <w:sz w:val="24"/>
          <w:szCs w:val="24"/>
          <w:lang w:eastAsia="en-GB"/>
        </w:rPr>
        <w:t>Groetch</w:t>
      </w:r>
      <w:proofErr w:type="spellEnd"/>
      <w:r w:rsidRPr="008501AC">
        <w:rPr>
          <w:rFonts w:eastAsia="Times New Roman"/>
          <w:color w:val="000000" w:themeColor="text1"/>
          <w:sz w:val="24"/>
          <w:szCs w:val="24"/>
          <w:lang w:eastAsia="en-GB"/>
        </w:rPr>
        <w:t xml:space="preserve"> ME, </w:t>
      </w:r>
      <w:proofErr w:type="spellStart"/>
      <w:r w:rsidRPr="008501AC">
        <w:rPr>
          <w:rFonts w:eastAsia="Times New Roman"/>
          <w:color w:val="000000" w:themeColor="text1"/>
          <w:sz w:val="24"/>
          <w:szCs w:val="24"/>
          <w:lang w:eastAsia="en-GB"/>
        </w:rPr>
        <w:t>Spergel</w:t>
      </w:r>
      <w:proofErr w:type="spellEnd"/>
      <w:r w:rsidRPr="008501AC">
        <w:rPr>
          <w:rFonts w:eastAsia="Times New Roman"/>
          <w:color w:val="000000" w:themeColor="text1"/>
          <w:sz w:val="24"/>
          <w:szCs w:val="24"/>
          <w:lang w:eastAsia="en-GB"/>
        </w:rPr>
        <w:t xml:space="preserve"> JM, Wood RA, Allen K, et al. International consensus guidelines for the diagnosis and management of food protein-induced enterocolitis syndrome: Executive </w:t>
      </w:r>
      <w:proofErr w:type="gramStart"/>
      <w:r w:rsidRPr="008501AC">
        <w:rPr>
          <w:rFonts w:eastAsia="Times New Roman"/>
          <w:color w:val="000000" w:themeColor="text1"/>
          <w:sz w:val="24"/>
          <w:szCs w:val="24"/>
          <w:lang w:eastAsia="en-GB"/>
        </w:rPr>
        <w:t>summary</w:t>
      </w:r>
      <w:proofErr w:type="gramEnd"/>
      <w:r w:rsidRPr="008501AC">
        <w:rPr>
          <w:rFonts w:eastAsia="Times New Roman"/>
          <w:color w:val="000000" w:themeColor="text1"/>
          <w:sz w:val="24"/>
          <w:szCs w:val="24"/>
          <w:lang w:eastAsia="en-GB"/>
        </w:rPr>
        <w:t>-Workgroup Report of the Adverse Reactions to Foods Committee, American Academy of Allergy, Asthma &amp; Immunology.</w:t>
      </w:r>
      <w:r w:rsidRPr="008501AC">
        <w:rPr>
          <w:rFonts w:eastAsia="Times New Roman"/>
          <w:i/>
          <w:iCs/>
          <w:color w:val="000000" w:themeColor="text1"/>
          <w:sz w:val="24"/>
          <w:szCs w:val="24"/>
          <w:lang w:eastAsia="en-GB"/>
        </w:rPr>
        <w:t xml:space="preserve"> </w:t>
      </w:r>
      <w:r w:rsidRPr="008501AC">
        <w:rPr>
          <w:rFonts w:eastAsia="Times New Roman"/>
          <w:i/>
          <w:color w:val="000000" w:themeColor="text1"/>
          <w:sz w:val="24"/>
          <w:szCs w:val="24"/>
          <w:lang w:eastAsia="en-GB"/>
        </w:rPr>
        <w:t>J Allergy Clin Immunol</w:t>
      </w:r>
      <w:r w:rsidRPr="008501AC">
        <w:rPr>
          <w:rFonts w:eastAsia="Times New Roman"/>
          <w:i/>
          <w:iCs/>
          <w:color w:val="000000" w:themeColor="text1"/>
          <w:sz w:val="24"/>
          <w:szCs w:val="24"/>
          <w:lang w:eastAsia="en-GB"/>
        </w:rPr>
        <w:t xml:space="preserve">. </w:t>
      </w:r>
      <w:r w:rsidRPr="008501AC">
        <w:rPr>
          <w:rFonts w:eastAsia="Times New Roman"/>
          <w:color w:val="000000" w:themeColor="text1"/>
          <w:sz w:val="24"/>
          <w:szCs w:val="24"/>
          <w:lang w:eastAsia="en-GB"/>
        </w:rPr>
        <w:t>2017</w:t>
      </w:r>
      <w:r w:rsidR="008851FC">
        <w:rPr>
          <w:rFonts w:eastAsia="Times New Roman"/>
          <w:color w:val="000000" w:themeColor="text1"/>
          <w:sz w:val="24"/>
          <w:szCs w:val="24"/>
          <w:lang w:eastAsia="en-GB"/>
        </w:rPr>
        <w:t xml:space="preserve"> Apr</w:t>
      </w:r>
      <w:r w:rsidRPr="008501AC">
        <w:rPr>
          <w:rFonts w:eastAsia="Times New Roman"/>
          <w:color w:val="000000" w:themeColor="text1"/>
          <w:sz w:val="24"/>
          <w:szCs w:val="24"/>
          <w:lang w:eastAsia="en-GB"/>
        </w:rPr>
        <w:t>;139</w:t>
      </w:r>
      <w:r w:rsidR="008851FC">
        <w:rPr>
          <w:rFonts w:eastAsia="Times New Roman"/>
          <w:color w:val="000000" w:themeColor="text1"/>
          <w:sz w:val="24"/>
          <w:szCs w:val="24"/>
          <w:lang w:eastAsia="en-GB"/>
        </w:rPr>
        <w:t>(4)</w:t>
      </w:r>
      <w:r w:rsidRPr="008501AC">
        <w:rPr>
          <w:rFonts w:eastAsia="Times New Roman"/>
          <w:color w:val="000000" w:themeColor="text1"/>
          <w:sz w:val="24"/>
          <w:szCs w:val="24"/>
          <w:lang w:eastAsia="en-GB"/>
        </w:rPr>
        <w:t>:1111–</w:t>
      </w:r>
      <w:proofErr w:type="gramStart"/>
      <w:r w:rsidRPr="008501AC">
        <w:rPr>
          <w:rFonts w:eastAsia="Times New Roman"/>
          <w:color w:val="000000" w:themeColor="text1"/>
          <w:sz w:val="24"/>
          <w:szCs w:val="24"/>
          <w:lang w:eastAsia="en-GB"/>
        </w:rPr>
        <w:t>26.e</w:t>
      </w:r>
      <w:proofErr w:type="gramEnd"/>
      <w:r w:rsidRPr="008501AC">
        <w:rPr>
          <w:rFonts w:eastAsia="Times New Roman"/>
          <w:color w:val="000000" w:themeColor="text1"/>
          <w:sz w:val="24"/>
          <w:szCs w:val="24"/>
          <w:lang w:eastAsia="en-GB"/>
        </w:rPr>
        <w:t>4.</w:t>
      </w:r>
    </w:p>
    <w:p w14:paraId="7B44D61D" w14:textId="5C3CA368" w:rsidR="00E3417E" w:rsidRDefault="00E3417E" w:rsidP="00E3417E">
      <w:pPr>
        <w:pStyle w:val="Standardunter5"/>
        <w:spacing w:before="0" w:line="360" w:lineRule="auto"/>
        <w:rPr>
          <w:rFonts w:eastAsia="Times New Roman"/>
          <w:color w:val="000000" w:themeColor="text1"/>
          <w:sz w:val="24"/>
          <w:szCs w:val="24"/>
          <w:lang w:eastAsia="en-GB"/>
        </w:rPr>
      </w:pPr>
    </w:p>
    <w:p w14:paraId="1D55BA54" w14:textId="0F09DC23" w:rsidR="00E3417E" w:rsidRDefault="00E3417E" w:rsidP="00E3417E">
      <w:pPr>
        <w:pStyle w:val="Standardunter5"/>
        <w:spacing w:before="0" w:line="360" w:lineRule="auto"/>
        <w:rPr>
          <w:rFonts w:eastAsia="Times New Roman"/>
          <w:color w:val="000000" w:themeColor="text1"/>
          <w:sz w:val="24"/>
          <w:szCs w:val="24"/>
          <w:lang w:eastAsia="en-GB"/>
        </w:rPr>
      </w:pPr>
    </w:p>
    <w:p w14:paraId="084EE131" w14:textId="1C20D9BA" w:rsidR="00E3417E" w:rsidRDefault="00E3417E" w:rsidP="00E3417E">
      <w:pPr>
        <w:pStyle w:val="Standardunter5"/>
        <w:spacing w:before="0" w:line="360" w:lineRule="auto"/>
        <w:rPr>
          <w:rFonts w:eastAsia="Times New Roman"/>
          <w:color w:val="000000" w:themeColor="text1"/>
          <w:sz w:val="24"/>
          <w:szCs w:val="24"/>
          <w:lang w:eastAsia="en-GB"/>
        </w:rPr>
      </w:pPr>
    </w:p>
    <w:p w14:paraId="334D8831" w14:textId="1AA6922C" w:rsidR="00E3417E" w:rsidRDefault="00E3417E" w:rsidP="00E3417E">
      <w:pPr>
        <w:pStyle w:val="Standardunter5"/>
        <w:spacing w:before="0" w:line="360" w:lineRule="auto"/>
        <w:rPr>
          <w:rFonts w:eastAsia="Times New Roman"/>
          <w:color w:val="000000" w:themeColor="text1"/>
          <w:sz w:val="24"/>
          <w:szCs w:val="24"/>
          <w:lang w:eastAsia="en-GB"/>
        </w:rPr>
      </w:pPr>
    </w:p>
    <w:p w14:paraId="03425C0F" w14:textId="0D3421F8" w:rsidR="00E3417E" w:rsidRDefault="00E3417E" w:rsidP="00E3417E">
      <w:pPr>
        <w:pStyle w:val="Standardunter5"/>
        <w:spacing w:before="0" w:line="360" w:lineRule="auto"/>
        <w:rPr>
          <w:rFonts w:eastAsia="Times New Roman"/>
          <w:color w:val="000000" w:themeColor="text1"/>
          <w:sz w:val="24"/>
          <w:szCs w:val="24"/>
          <w:lang w:eastAsia="en-GB"/>
        </w:rPr>
      </w:pPr>
    </w:p>
    <w:p w14:paraId="2407E8A8" w14:textId="72A71170" w:rsidR="00E3417E" w:rsidRDefault="00E3417E" w:rsidP="00E3417E">
      <w:pPr>
        <w:pStyle w:val="Standardunter5"/>
        <w:spacing w:before="0" w:line="360" w:lineRule="auto"/>
        <w:rPr>
          <w:rFonts w:eastAsia="Times New Roman"/>
          <w:color w:val="000000" w:themeColor="text1"/>
          <w:sz w:val="24"/>
          <w:szCs w:val="24"/>
          <w:lang w:eastAsia="en-GB"/>
        </w:rPr>
      </w:pPr>
    </w:p>
    <w:p w14:paraId="0060AD5B" w14:textId="3D5A7BFE" w:rsidR="00E3417E" w:rsidRDefault="00E3417E" w:rsidP="00606815">
      <w:pPr>
        <w:pStyle w:val="Standardunter5"/>
        <w:spacing w:before="0" w:line="360" w:lineRule="auto"/>
        <w:ind w:left="0"/>
        <w:rPr>
          <w:rFonts w:eastAsia="Times New Roman"/>
          <w:color w:val="000000" w:themeColor="text1"/>
          <w:sz w:val="24"/>
          <w:szCs w:val="24"/>
          <w:lang w:eastAsia="en-GB"/>
        </w:rPr>
      </w:pPr>
    </w:p>
    <w:p w14:paraId="051F4BDA" w14:textId="77777777" w:rsidR="00E11C31" w:rsidRPr="004D4F01" w:rsidRDefault="00E11C31" w:rsidP="00E11C31">
      <w:pPr>
        <w:autoSpaceDE w:val="0"/>
        <w:autoSpaceDN w:val="0"/>
        <w:adjustRightInd w:val="0"/>
        <w:spacing w:line="480" w:lineRule="auto"/>
        <w:rPr>
          <w:rFonts w:cstheme="minorHAnsi"/>
          <w:b/>
          <w:color w:val="000000" w:themeColor="text1"/>
          <w:sz w:val="24"/>
          <w:szCs w:val="24"/>
        </w:rPr>
      </w:pPr>
      <w:r w:rsidRPr="004D4F01">
        <w:rPr>
          <w:rFonts w:cstheme="minorHAnsi"/>
          <w:b/>
          <w:color w:val="000000" w:themeColor="text1"/>
          <w:sz w:val="24"/>
          <w:szCs w:val="24"/>
        </w:rPr>
        <w:lastRenderedPageBreak/>
        <w:t>Supplementary figures</w:t>
      </w:r>
    </w:p>
    <w:p w14:paraId="4E1BC369" w14:textId="703588F3" w:rsidR="00E11C31" w:rsidRDefault="00E11C31" w:rsidP="00E11C31">
      <w:pPr>
        <w:autoSpaceDE w:val="0"/>
        <w:autoSpaceDN w:val="0"/>
        <w:adjustRightInd w:val="0"/>
        <w:spacing w:line="480" w:lineRule="auto"/>
        <w:jc w:val="center"/>
      </w:pPr>
      <w:r>
        <w:rPr>
          <w:noProof/>
          <w:lang w:val="en-US"/>
        </w:rPr>
        <w:drawing>
          <wp:inline distT="0" distB="0" distL="0" distR="0" wp14:anchorId="48573772" wp14:editId="54F6E53B">
            <wp:extent cx="5731510" cy="409892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098925"/>
                    </a:xfrm>
                    <a:prstGeom prst="rect">
                      <a:avLst/>
                    </a:prstGeom>
                    <a:noFill/>
                    <a:ln>
                      <a:noFill/>
                    </a:ln>
                  </pic:spPr>
                </pic:pic>
              </a:graphicData>
            </a:graphic>
          </wp:inline>
        </w:drawing>
      </w:r>
    </w:p>
    <w:p w14:paraId="0413BE9A" w14:textId="7196BC22" w:rsidR="00E11C31" w:rsidRPr="004D4F01" w:rsidRDefault="00E11C31" w:rsidP="00E11C31">
      <w:pPr>
        <w:autoSpaceDE w:val="0"/>
        <w:autoSpaceDN w:val="0"/>
        <w:adjustRightInd w:val="0"/>
        <w:spacing w:line="480" w:lineRule="auto"/>
        <w:rPr>
          <w:rFonts w:cstheme="minorHAnsi"/>
          <w:strike/>
          <w:color w:val="FF0000"/>
          <w:sz w:val="24"/>
          <w:szCs w:val="24"/>
        </w:rPr>
      </w:pPr>
      <w:r w:rsidRPr="004D4F01">
        <w:rPr>
          <w:rFonts w:cstheme="minorHAnsi"/>
          <w:b/>
          <w:color w:val="000000" w:themeColor="text1"/>
          <w:sz w:val="24"/>
          <w:szCs w:val="24"/>
        </w:rPr>
        <w:t>Fig</w:t>
      </w:r>
      <w:r w:rsidR="00EE5261">
        <w:rPr>
          <w:rFonts w:cstheme="minorHAnsi"/>
          <w:b/>
          <w:color w:val="000000" w:themeColor="text1"/>
          <w:sz w:val="24"/>
          <w:szCs w:val="24"/>
        </w:rPr>
        <w:t>.</w:t>
      </w:r>
      <w:r w:rsidRPr="004D4F01">
        <w:rPr>
          <w:rFonts w:cstheme="minorHAnsi"/>
          <w:b/>
          <w:color w:val="000000" w:themeColor="text1"/>
          <w:sz w:val="24"/>
          <w:szCs w:val="24"/>
        </w:rPr>
        <w:t xml:space="preserve"> E1</w:t>
      </w:r>
      <w:r w:rsidR="00355FF8">
        <w:rPr>
          <w:rFonts w:cstheme="minorHAnsi"/>
          <w:b/>
          <w:color w:val="000000" w:themeColor="text1"/>
          <w:sz w:val="24"/>
          <w:szCs w:val="24"/>
        </w:rPr>
        <w:t>.</w:t>
      </w:r>
      <w:r w:rsidRPr="004D4F01">
        <w:rPr>
          <w:rFonts w:cstheme="minorHAnsi"/>
          <w:color w:val="000000" w:themeColor="text1"/>
          <w:sz w:val="24"/>
          <w:szCs w:val="24"/>
        </w:rPr>
        <w:t xml:space="preserve"> </w:t>
      </w:r>
      <w:r w:rsidR="00EE5261" w:rsidRPr="00940085">
        <w:rPr>
          <w:rFonts w:cs="Calibri"/>
        </w:rPr>
        <w:t>Study enrolment.</w:t>
      </w:r>
    </w:p>
    <w:p w14:paraId="0483BAFE" w14:textId="77777777" w:rsidR="00E11C31" w:rsidRPr="00334E81" w:rsidRDefault="00E11C31" w:rsidP="00E11C31">
      <w:pPr>
        <w:autoSpaceDE w:val="0"/>
        <w:autoSpaceDN w:val="0"/>
        <w:adjustRightInd w:val="0"/>
        <w:spacing w:line="480" w:lineRule="auto"/>
        <w:jc w:val="center"/>
        <w:rPr>
          <w:rFonts w:ascii="Times New Roman" w:hAnsi="Times New Roman"/>
          <w:color w:val="000000" w:themeColor="text1"/>
          <w:sz w:val="24"/>
          <w:szCs w:val="24"/>
        </w:rPr>
      </w:pPr>
    </w:p>
    <w:p w14:paraId="4CA959B8"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17E3D192"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19EB8CD5"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7C868318"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4F602701"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36C531CC"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4614302F"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5378889F"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r>
        <w:rPr>
          <w:noProof/>
          <w:lang w:val="en-US"/>
        </w:rPr>
        <w:drawing>
          <wp:inline distT="0" distB="0" distL="0" distR="0" wp14:anchorId="1EC4F9F4" wp14:editId="05B5C03D">
            <wp:extent cx="5731510" cy="5347970"/>
            <wp:effectExtent l="0" t="0" r="254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347970"/>
                    </a:xfrm>
                    <a:prstGeom prst="rect">
                      <a:avLst/>
                    </a:prstGeom>
                    <a:noFill/>
                    <a:ln>
                      <a:noFill/>
                    </a:ln>
                  </pic:spPr>
                </pic:pic>
              </a:graphicData>
            </a:graphic>
          </wp:inline>
        </w:drawing>
      </w:r>
    </w:p>
    <w:p w14:paraId="521E23E9" w14:textId="77777777" w:rsidR="00E11C31" w:rsidRPr="00334E81" w:rsidRDefault="00E11C31" w:rsidP="00E11C31">
      <w:pPr>
        <w:autoSpaceDE w:val="0"/>
        <w:autoSpaceDN w:val="0"/>
        <w:adjustRightInd w:val="0"/>
        <w:spacing w:line="480" w:lineRule="auto"/>
        <w:jc w:val="center"/>
        <w:rPr>
          <w:rFonts w:ascii="Times New Roman" w:hAnsi="Times New Roman"/>
          <w:b/>
          <w:color w:val="000000" w:themeColor="text1"/>
          <w:sz w:val="24"/>
          <w:szCs w:val="24"/>
        </w:rPr>
      </w:pPr>
    </w:p>
    <w:p w14:paraId="22BC6C06" w14:textId="68C59E98" w:rsidR="00355FF8" w:rsidRPr="00606815" w:rsidRDefault="00E11C31" w:rsidP="00355FF8">
      <w:pPr>
        <w:autoSpaceDE w:val="0"/>
        <w:autoSpaceDN w:val="0"/>
        <w:adjustRightInd w:val="0"/>
        <w:spacing w:line="480" w:lineRule="auto"/>
        <w:rPr>
          <w:rFonts w:cstheme="minorHAnsi"/>
          <w:bCs/>
          <w:color w:val="000000" w:themeColor="text1"/>
          <w:sz w:val="24"/>
          <w:szCs w:val="24"/>
        </w:rPr>
      </w:pPr>
      <w:r w:rsidRPr="004D4F01">
        <w:rPr>
          <w:rFonts w:cstheme="minorHAnsi"/>
          <w:b/>
          <w:color w:val="000000" w:themeColor="text1"/>
          <w:sz w:val="24"/>
          <w:szCs w:val="24"/>
        </w:rPr>
        <w:t>Fig</w:t>
      </w:r>
      <w:r w:rsidR="00355FF8">
        <w:rPr>
          <w:rFonts w:cstheme="minorHAnsi"/>
          <w:b/>
          <w:color w:val="000000" w:themeColor="text1"/>
          <w:sz w:val="24"/>
          <w:szCs w:val="24"/>
        </w:rPr>
        <w:t>.</w:t>
      </w:r>
      <w:r w:rsidRPr="004D4F01">
        <w:rPr>
          <w:rFonts w:cstheme="minorHAnsi"/>
          <w:b/>
          <w:color w:val="000000" w:themeColor="text1"/>
          <w:sz w:val="24"/>
          <w:szCs w:val="24"/>
        </w:rPr>
        <w:t xml:space="preserve"> E2</w:t>
      </w:r>
      <w:r w:rsidR="00355FF8">
        <w:rPr>
          <w:rFonts w:cstheme="minorHAnsi"/>
          <w:b/>
          <w:color w:val="000000" w:themeColor="text1"/>
          <w:sz w:val="24"/>
          <w:szCs w:val="24"/>
        </w:rPr>
        <w:t xml:space="preserve">. </w:t>
      </w:r>
      <w:r w:rsidR="00355FF8" w:rsidRPr="00606815">
        <w:rPr>
          <w:rFonts w:cstheme="minorHAnsi"/>
          <w:bCs/>
          <w:color w:val="000000" w:themeColor="text1"/>
          <w:sz w:val="24"/>
          <w:szCs w:val="24"/>
        </w:rPr>
        <w:t xml:space="preserve">Receiver operating characteristic curve for the diagnosis of FPIES. </w:t>
      </w:r>
    </w:p>
    <w:p w14:paraId="3188DB6D" w14:textId="58BD0B21" w:rsidR="00355FF8" w:rsidRPr="00606815" w:rsidRDefault="009B6976" w:rsidP="00355FF8">
      <w:pPr>
        <w:autoSpaceDE w:val="0"/>
        <w:autoSpaceDN w:val="0"/>
        <w:adjustRightInd w:val="0"/>
        <w:spacing w:line="480" w:lineRule="auto"/>
        <w:rPr>
          <w:rFonts w:cstheme="minorHAnsi"/>
          <w:bCs/>
          <w:color w:val="000000" w:themeColor="text1"/>
          <w:sz w:val="24"/>
          <w:szCs w:val="24"/>
        </w:rPr>
      </w:pPr>
      <w:r>
        <w:rPr>
          <w:rFonts w:cstheme="minorHAnsi"/>
          <w:bCs/>
          <w:color w:val="000000" w:themeColor="text1"/>
          <w:sz w:val="24"/>
          <w:szCs w:val="24"/>
        </w:rPr>
        <w:t>C</w:t>
      </w:r>
      <w:r w:rsidR="00355FF8" w:rsidRPr="00606815">
        <w:rPr>
          <w:rFonts w:cstheme="minorHAnsi"/>
          <w:bCs/>
          <w:color w:val="000000" w:themeColor="text1"/>
          <w:sz w:val="24"/>
          <w:szCs w:val="24"/>
        </w:rPr>
        <w:t xml:space="preserve">ontinuous and dashed lines indicate TARC and modified TARC levels, respectively. </w:t>
      </w:r>
    </w:p>
    <w:p w14:paraId="69548DEA" w14:textId="24CE949D" w:rsidR="00E11C31" w:rsidRDefault="00355FF8" w:rsidP="00355FF8">
      <w:pPr>
        <w:autoSpaceDE w:val="0"/>
        <w:autoSpaceDN w:val="0"/>
        <w:adjustRightInd w:val="0"/>
        <w:spacing w:line="480" w:lineRule="auto"/>
        <w:rPr>
          <w:rFonts w:cstheme="minorHAnsi"/>
          <w:bCs/>
          <w:color w:val="000000" w:themeColor="text1"/>
          <w:sz w:val="24"/>
          <w:szCs w:val="24"/>
        </w:rPr>
      </w:pPr>
      <w:r w:rsidRPr="00606815">
        <w:rPr>
          <w:rFonts w:cstheme="minorHAnsi"/>
          <w:bCs/>
          <w:color w:val="000000" w:themeColor="text1"/>
          <w:sz w:val="24"/>
          <w:szCs w:val="24"/>
        </w:rPr>
        <w:t>FPIES, food protein-induced enterocolitis syndrome; IgE, immunoglobulin E; OFC, oral food challenge; TARC, thymus and activation-regulated chemokine.</w:t>
      </w:r>
    </w:p>
    <w:p w14:paraId="2428206B" w14:textId="28D28CDA" w:rsidR="003E1D43" w:rsidRDefault="003E1D43">
      <w:pPr>
        <w:spacing w:after="0" w:line="240" w:lineRule="auto"/>
        <w:rPr>
          <w:rFonts w:cstheme="minorHAnsi"/>
          <w:bCs/>
          <w:color w:val="000000" w:themeColor="text1"/>
          <w:sz w:val="24"/>
          <w:szCs w:val="24"/>
        </w:rPr>
      </w:pPr>
      <w:r>
        <w:rPr>
          <w:rFonts w:cstheme="minorHAnsi"/>
          <w:bCs/>
          <w:color w:val="000000" w:themeColor="text1"/>
          <w:sz w:val="24"/>
          <w:szCs w:val="24"/>
        </w:rPr>
        <w:br w:type="page"/>
      </w:r>
    </w:p>
    <w:p w14:paraId="0E9F2AD7" w14:textId="77777777" w:rsidR="003E1D43" w:rsidRDefault="003E1D43" w:rsidP="003E1D43">
      <w:pPr>
        <w:pStyle w:val="Web"/>
        <w:spacing w:before="0" w:beforeAutospacing="0" w:after="0" w:afterAutospacing="0" w:line="480" w:lineRule="auto"/>
        <w:rPr>
          <w:rFonts w:ascii="Times New Roman" w:eastAsiaTheme="minorEastAsia" w:hAnsi="Times New Roman" w:cs="Times New Roman"/>
          <w:b/>
          <w:bCs/>
          <w:color w:val="000000" w:themeColor="text1"/>
          <w:kern w:val="24"/>
        </w:rPr>
        <w:sectPr w:rsidR="003E1D43" w:rsidSect="003A0154">
          <w:footerReference w:type="default" r:id="rId9"/>
          <w:pgSz w:w="11906" w:h="16838" w:code="9"/>
          <w:pgMar w:top="1440" w:right="1440" w:bottom="1440" w:left="1440" w:header="709" w:footer="709" w:gutter="0"/>
          <w:cols w:space="708"/>
          <w:docGrid w:linePitch="360"/>
        </w:sectPr>
      </w:pPr>
    </w:p>
    <w:p w14:paraId="4B41F0D3" w14:textId="2B80FE0E" w:rsidR="003E1D43" w:rsidRPr="00066352" w:rsidRDefault="003E1D43" w:rsidP="003E1D43">
      <w:pPr>
        <w:pStyle w:val="Web"/>
        <w:spacing w:before="0" w:beforeAutospacing="0" w:after="0" w:afterAutospacing="0" w:line="480" w:lineRule="auto"/>
        <w:rPr>
          <w:rFonts w:ascii="Times New Roman" w:eastAsiaTheme="minorEastAsia" w:hAnsi="Times New Roman" w:cs="Times New Roman"/>
          <w:b/>
          <w:bCs/>
          <w:color w:val="000000" w:themeColor="text1"/>
          <w:kern w:val="24"/>
        </w:rPr>
      </w:pPr>
      <w:r w:rsidRPr="00066352">
        <w:rPr>
          <w:rFonts w:ascii="Times New Roman" w:eastAsiaTheme="minorEastAsia" w:hAnsi="Times New Roman" w:cs="Times New Roman"/>
          <w:b/>
          <w:bCs/>
          <w:color w:val="000000" w:themeColor="text1"/>
          <w:kern w:val="24"/>
        </w:rPr>
        <w:lastRenderedPageBreak/>
        <w:t xml:space="preserve">Table </w:t>
      </w:r>
      <w:r>
        <w:rPr>
          <w:rFonts w:ascii="Times New Roman" w:eastAsiaTheme="minorEastAsia" w:hAnsi="Times New Roman" w:cs="Times New Roman" w:hint="eastAsia"/>
          <w:b/>
          <w:bCs/>
          <w:color w:val="000000" w:themeColor="text1"/>
          <w:kern w:val="24"/>
        </w:rPr>
        <w:t>E1</w:t>
      </w:r>
    </w:p>
    <w:p w14:paraId="3BC0AF16" w14:textId="5A6B9774" w:rsidR="003E1D43" w:rsidRPr="00066352" w:rsidRDefault="003E1D43" w:rsidP="003E1D43">
      <w:pPr>
        <w:pStyle w:val="Web"/>
        <w:spacing w:before="0" w:beforeAutospacing="0" w:after="0" w:afterAutospacing="0" w:line="480" w:lineRule="auto"/>
        <w:rPr>
          <w:rFonts w:ascii="Times New Roman" w:hAnsi="Times New Roman" w:cs="Times New Roman"/>
          <w:color w:val="000000" w:themeColor="text1"/>
        </w:rPr>
      </w:pPr>
      <w:r w:rsidRPr="00066352">
        <w:rPr>
          <w:rFonts w:ascii="Times New Roman" w:eastAsiaTheme="minorEastAsia" w:hAnsi="Times New Roman" w:cs="Times New Roman"/>
          <w:color w:val="000000" w:themeColor="text1"/>
          <w:kern w:val="24"/>
        </w:rPr>
        <w:t>Clinical findings of all episodes of FPIES in the study population</w:t>
      </w:r>
    </w:p>
    <w:tbl>
      <w:tblPr>
        <w:tblStyle w:val="af4"/>
        <w:tblW w:w="14336"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03"/>
        <w:gridCol w:w="783"/>
        <w:gridCol w:w="1163"/>
        <w:gridCol w:w="1763"/>
        <w:gridCol w:w="1110"/>
        <w:gridCol w:w="1150"/>
        <w:gridCol w:w="1226"/>
        <w:gridCol w:w="1789"/>
        <w:gridCol w:w="1194"/>
        <w:gridCol w:w="1043"/>
        <w:gridCol w:w="1016"/>
        <w:gridCol w:w="1096"/>
      </w:tblGrid>
      <w:tr w:rsidR="003E1D43" w:rsidRPr="00066352" w14:paraId="51BB9CA0" w14:textId="77777777" w:rsidTr="00F815DA">
        <w:trPr>
          <w:trHeight w:val="1045"/>
        </w:trPr>
        <w:tc>
          <w:tcPr>
            <w:tcW w:w="1003" w:type="dxa"/>
            <w:tcBorders>
              <w:top w:val="single" w:sz="4" w:space="0" w:color="auto"/>
              <w:bottom w:val="single" w:sz="4" w:space="0" w:color="auto"/>
            </w:tcBorders>
            <w:hideMark/>
          </w:tcPr>
          <w:p w14:paraId="6A09B01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Patient–episode</w:t>
            </w:r>
          </w:p>
        </w:tc>
        <w:tc>
          <w:tcPr>
            <w:tcW w:w="783" w:type="dxa"/>
            <w:tcBorders>
              <w:top w:val="single" w:sz="4" w:space="0" w:color="auto"/>
              <w:bottom w:val="single" w:sz="4" w:space="0" w:color="auto"/>
            </w:tcBorders>
            <w:hideMark/>
          </w:tcPr>
          <w:p w14:paraId="10B4442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Age at onset, years</w:t>
            </w:r>
          </w:p>
        </w:tc>
        <w:tc>
          <w:tcPr>
            <w:tcW w:w="1163" w:type="dxa"/>
            <w:tcBorders>
              <w:top w:val="single" w:sz="4" w:space="0" w:color="auto"/>
              <w:bottom w:val="single" w:sz="4" w:space="0" w:color="auto"/>
            </w:tcBorders>
            <w:hideMark/>
          </w:tcPr>
          <w:p w14:paraId="6EA887E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Causative food</w:t>
            </w:r>
          </w:p>
        </w:tc>
        <w:tc>
          <w:tcPr>
            <w:tcW w:w="1763" w:type="dxa"/>
            <w:tcBorders>
              <w:top w:val="single" w:sz="4" w:space="0" w:color="auto"/>
              <w:bottom w:val="single" w:sz="4" w:space="0" w:color="auto"/>
            </w:tcBorders>
            <w:hideMark/>
          </w:tcPr>
          <w:p w14:paraId="5272980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Presentation</w:t>
            </w:r>
          </w:p>
          <w:p w14:paraId="113F797F" w14:textId="77777777" w:rsidR="003E1D43" w:rsidRPr="00066352" w:rsidRDefault="003E1D43" w:rsidP="00F815DA">
            <w:pPr>
              <w:spacing w:line="480" w:lineRule="auto"/>
              <w:rPr>
                <w:rFonts w:ascii="Times New Roman" w:hAnsi="Times New Roman" w:cs="Times New Roman"/>
                <w:color w:val="000000" w:themeColor="text1"/>
                <w:sz w:val="24"/>
                <w:szCs w:val="24"/>
              </w:rPr>
            </w:pPr>
          </w:p>
        </w:tc>
        <w:tc>
          <w:tcPr>
            <w:tcW w:w="1110" w:type="dxa"/>
            <w:tcBorders>
              <w:top w:val="single" w:sz="4" w:space="0" w:color="auto"/>
              <w:bottom w:val="single" w:sz="4" w:space="0" w:color="auto"/>
            </w:tcBorders>
            <w:hideMark/>
          </w:tcPr>
          <w:p w14:paraId="4B24CA0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Ingestion dose (g)</w:t>
            </w:r>
          </w:p>
        </w:tc>
        <w:tc>
          <w:tcPr>
            <w:tcW w:w="1150" w:type="dxa"/>
            <w:tcBorders>
              <w:top w:val="single" w:sz="4" w:space="0" w:color="auto"/>
              <w:bottom w:val="single" w:sz="4" w:space="0" w:color="auto"/>
            </w:tcBorders>
            <w:hideMark/>
          </w:tcPr>
          <w:p w14:paraId="5D66BCD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Symptom</w:t>
            </w:r>
          </w:p>
        </w:tc>
        <w:tc>
          <w:tcPr>
            <w:tcW w:w="1226" w:type="dxa"/>
            <w:tcBorders>
              <w:top w:val="single" w:sz="4" w:space="0" w:color="auto"/>
              <w:bottom w:val="single" w:sz="4" w:space="0" w:color="auto"/>
            </w:tcBorders>
            <w:hideMark/>
          </w:tcPr>
          <w:p w14:paraId="49685A1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Vomiting episodes</w:t>
            </w:r>
          </w:p>
        </w:tc>
        <w:tc>
          <w:tcPr>
            <w:tcW w:w="1789" w:type="dxa"/>
            <w:tcBorders>
              <w:top w:val="single" w:sz="4" w:space="0" w:color="auto"/>
              <w:bottom w:val="single" w:sz="4" w:space="0" w:color="auto"/>
            </w:tcBorders>
            <w:hideMark/>
          </w:tcPr>
          <w:p w14:paraId="43548B6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Symptom severity</w:t>
            </w:r>
          </w:p>
        </w:tc>
        <w:tc>
          <w:tcPr>
            <w:tcW w:w="1194" w:type="dxa"/>
            <w:tcBorders>
              <w:top w:val="single" w:sz="4" w:space="0" w:color="auto"/>
              <w:bottom w:val="single" w:sz="4" w:space="0" w:color="auto"/>
            </w:tcBorders>
            <w:hideMark/>
          </w:tcPr>
          <w:p w14:paraId="1D74DBF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Treatment</w:t>
            </w:r>
          </w:p>
        </w:tc>
        <w:tc>
          <w:tcPr>
            <w:tcW w:w="1043" w:type="dxa"/>
            <w:tcBorders>
              <w:top w:val="single" w:sz="4" w:space="0" w:color="auto"/>
              <w:bottom w:val="single" w:sz="4" w:space="0" w:color="auto"/>
            </w:tcBorders>
            <w:hideMark/>
          </w:tcPr>
          <w:p w14:paraId="27275BA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Baseline TARC, (</w:t>
            </w:r>
            <w:proofErr w:type="spellStart"/>
            <w:r w:rsidRPr="00066352">
              <w:rPr>
                <w:rFonts w:ascii="Times New Roman" w:hAnsi="Times New Roman" w:cs="Times New Roman"/>
                <w:color w:val="000000" w:themeColor="text1"/>
                <w:sz w:val="24"/>
                <w:szCs w:val="24"/>
              </w:rPr>
              <w:t>pg</w:t>
            </w:r>
            <w:proofErr w:type="spellEnd"/>
            <w:r w:rsidRPr="00066352">
              <w:rPr>
                <w:rFonts w:ascii="Times New Roman" w:hAnsi="Times New Roman" w:cs="Times New Roman"/>
                <w:color w:val="000000" w:themeColor="text1"/>
                <w:sz w:val="24"/>
                <w:szCs w:val="24"/>
              </w:rPr>
              <w:t>/mL)</w:t>
            </w:r>
          </w:p>
        </w:tc>
        <w:tc>
          <w:tcPr>
            <w:tcW w:w="1016" w:type="dxa"/>
            <w:tcBorders>
              <w:top w:val="single" w:sz="4" w:space="0" w:color="auto"/>
              <w:bottom w:val="single" w:sz="4" w:space="0" w:color="auto"/>
            </w:tcBorders>
            <w:hideMark/>
          </w:tcPr>
          <w:p w14:paraId="2BF34BF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TARC, (</w:t>
            </w:r>
            <w:proofErr w:type="spellStart"/>
            <w:r w:rsidRPr="00066352">
              <w:rPr>
                <w:rFonts w:ascii="Times New Roman" w:hAnsi="Times New Roman" w:cs="Times New Roman"/>
                <w:color w:val="000000" w:themeColor="text1"/>
                <w:sz w:val="24"/>
                <w:szCs w:val="24"/>
              </w:rPr>
              <w:t>pg</w:t>
            </w:r>
            <w:proofErr w:type="spellEnd"/>
            <w:r w:rsidRPr="00066352">
              <w:rPr>
                <w:rFonts w:ascii="Times New Roman" w:hAnsi="Times New Roman" w:cs="Times New Roman"/>
                <w:color w:val="000000" w:themeColor="text1"/>
                <w:sz w:val="24"/>
                <w:szCs w:val="24"/>
              </w:rPr>
              <w:t>/mL)</w:t>
            </w:r>
          </w:p>
        </w:tc>
        <w:tc>
          <w:tcPr>
            <w:tcW w:w="1096" w:type="dxa"/>
            <w:tcBorders>
              <w:top w:val="single" w:sz="4" w:space="0" w:color="auto"/>
              <w:bottom w:val="single" w:sz="4" w:space="0" w:color="auto"/>
            </w:tcBorders>
            <w:hideMark/>
          </w:tcPr>
          <w:p w14:paraId="2FB51A3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Time from antigen ingestion to blood test (hours)</w:t>
            </w:r>
          </w:p>
        </w:tc>
      </w:tr>
      <w:tr w:rsidR="003E1D43" w:rsidRPr="00066352" w14:paraId="1F421C0D" w14:textId="77777777" w:rsidTr="00F815DA">
        <w:trPr>
          <w:trHeight w:val="729"/>
        </w:trPr>
        <w:tc>
          <w:tcPr>
            <w:tcW w:w="1003" w:type="dxa"/>
            <w:tcBorders>
              <w:top w:val="single" w:sz="4" w:space="0" w:color="auto"/>
            </w:tcBorders>
            <w:hideMark/>
          </w:tcPr>
          <w:p w14:paraId="25748E8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1-Ⅰ</w:t>
            </w:r>
          </w:p>
        </w:tc>
        <w:tc>
          <w:tcPr>
            <w:tcW w:w="783" w:type="dxa"/>
            <w:tcBorders>
              <w:top w:val="single" w:sz="4" w:space="0" w:color="auto"/>
            </w:tcBorders>
            <w:hideMark/>
          </w:tcPr>
          <w:p w14:paraId="038B9F5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0.7</w:t>
            </w:r>
          </w:p>
        </w:tc>
        <w:tc>
          <w:tcPr>
            <w:tcW w:w="1163" w:type="dxa"/>
            <w:tcBorders>
              <w:top w:val="single" w:sz="4" w:space="0" w:color="auto"/>
            </w:tcBorders>
            <w:hideMark/>
          </w:tcPr>
          <w:p w14:paraId="1E6B9F9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tcBorders>
              <w:top w:val="single" w:sz="4" w:space="0" w:color="auto"/>
            </w:tcBorders>
            <w:hideMark/>
          </w:tcPr>
          <w:p w14:paraId="21D67AC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tcBorders>
              <w:top w:val="single" w:sz="4" w:space="0" w:color="auto"/>
            </w:tcBorders>
            <w:hideMark/>
          </w:tcPr>
          <w:p w14:paraId="3C305DF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w:t>
            </w:r>
          </w:p>
        </w:tc>
        <w:tc>
          <w:tcPr>
            <w:tcW w:w="1150" w:type="dxa"/>
            <w:tcBorders>
              <w:top w:val="single" w:sz="4" w:space="0" w:color="auto"/>
            </w:tcBorders>
            <w:hideMark/>
          </w:tcPr>
          <w:p w14:paraId="2690848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w:t>
            </w:r>
          </w:p>
        </w:tc>
        <w:tc>
          <w:tcPr>
            <w:tcW w:w="1226" w:type="dxa"/>
            <w:tcBorders>
              <w:top w:val="single" w:sz="4" w:space="0" w:color="auto"/>
            </w:tcBorders>
            <w:hideMark/>
          </w:tcPr>
          <w:p w14:paraId="1138D55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4</w:t>
            </w:r>
          </w:p>
        </w:tc>
        <w:tc>
          <w:tcPr>
            <w:tcW w:w="1789" w:type="dxa"/>
            <w:tcBorders>
              <w:top w:val="single" w:sz="4" w:space="0" w:color="auto"/>
            </w:tcBorders>
            <w:hideMark/>
          </w:tcPr>
          <w:p w14:paraId="4C5CF0C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Moderate</w:t>
            </w:r>
          </w:p>
        </w:tc>
        <w:tc>
          <w:tcPr>
            <w:tcW w:w="1194" w:type="dxa"/>
            <w:tcBorders>
              <w:top w:val="single" w:sz="4" w:space="0" w:color="auto"/>
            </w:tcBorders>
            <w:hideMark/>
          </w:tcPr>
          <w:p w14:paraId="248CCB8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None</w:t>
            </w:r>
          </w:p>
        </w:tc>
        <w:tc>
          <w:tcPr>
            <w:tcW w:w="1043" w:type="dxa"/>
            <w:tcBorders>
              <w:top w:val="single" w:sz="4" w:space="0" w:color="auto"/>
            </w:tcBorders>
            <w:hideMark/>
          </w:tcPr>
          <w:p w14:paraId="48696C8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630</w:t>
            </w:r>
          </w:p>
        </w:tc>
        <w:tc>
          <w:tcPr>
            <w:tcW w:w="1016" w:type="dxa"/>
            <w:tcBorders>
              <w:top w:val="single" w:sz="4" w:space="0" w:color="auto"/>
            </w:tcBorders>
            <w:hideMark/>
          </w:tcPr>
          <w:p w14:paraId="0F74AF5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2075</w:t>
            </w:r>
          </w:p>
        </w:tc>
        <w:tc>
          <w:tcPr>
            <w:tcW w:w="1096" w:type="dxa"/>
            <w:tcBorders>
              <w:top w:val="single" w:sz="4" w:space="0" w:color="auto"/>
            </w:tcBorders>
            <w:hideMark/>
          </w:tcPr>
          <w:p w14:paraId="0A77569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22</w:t>
            </w:r>
          </w:p>
        </w:tc>
      </w:tr>
      <w:tr w:rsidR="003E1D43" w:rsidRPr="00066352" w14:paraId="5E5DE62E" w14:textId="77777777" w:rsidTr="00F815DA">
        <w:trPr>
          <w:trHeight w:val="729"/>
        </w:trPr>
        <w:tc>
          <w:tcPr>
            <w:tcW w:w="1003" w:type="dxa"/>
            <w:hideMark/>
          </w:tcPr>
          <w:p w14:paraId="463AEAD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1-Ⅱ</w:t>
            </w:r>
          </w:p>
        </w:tc>
        <w:tc>
          <w:tcPr>
            <w:tcW w:w="783" w:type="dxa"/>
            <w:hideMark/>
          </w:tcPr>
          <w:p w14:paraId="5D5075A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1.6</w:t>
            </w:r>
          </w:p>
        </w:tc>
        <w:tc>
          <w:tcPr>
            <w:tcW w:w="1163" w:type="dxa"/>
            <w:hideMark/>
          </w:tcPr>
          <w:p w14:paraId="72BE53F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hideMark/>
          </w:tcPr>
          <w:p w14:paraId="0AA7414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OFC</w:t>
            </w:r>
          </w:p>
        </w:tc>
        <w:tc>
          <w:tcPr>
            <w:tcW w:w="1110" w:type="dxa"/>
            <w:hideMark/>
          </w:tcPr>
          <w:p w14:paraId="4D8137C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w:t>
            </w:r>
          </w:p>
        </w:tc>
        <w:tc>
          <w:tcPr>
            <w:tcW w:w="1150" w:type="dxa"/>
            <w:hideMark/>
          </w:tcPr>
          <w:p w14:paraId="7146DE4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 P</w:t>
            </w:r>
          </w:p>
        </w:tc>
        <w:tc>
          <w:tcPr>
            <w:tcW w:w="1226" w:type="dxa"/>
            <w:hideMark/>
          </w:tcPr>
          <w:p w14:paraId="46CB5BE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&gt;10</w:t>
            </w:r>
          </w:p>
        </w:tc>
        <w:tc>
          <w:tcPr>
            <w:tcW w:w="1789" w:type="dxa"/>
            <w:hideMark/>
          </w:tcPr>
          <w:p w14:paraId="0292B49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Severe</w:t>
            </w:r>
          </w:p>
        </w:tc>
        <w:tc>
          <w:tcPr>
            <w:tcW w:w="1194" w:type="dxa"/>
            <w:hideMark/>
          </w:tcPr>
          <w:p w14:paraId="5126093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HC, IF</w:t>
            </w:r>
          </w:p>
        </w:tc>
        <w:tc>
          <w:tcPr>
            <w:tcW w:w="1043" w:type="dxa"/>
            <w:hideMark/>
          </w:tcPr>
          <w:p w14:paraId="3B3CB4C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630</w:t>
            </w:r>
          </w:p>
        </w:tc>
        <w:tc>
          <w:tcPr>
            <w:tcW w:w="1016" w:type="dxa"/>
            <w:hideMark/>
          </w:tcPr>
          <w:p w14:paraId="22F0752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7816</w:t>
            </w:r>
          </w:p>
        </w:tc>
        <w:tc>
          <w:tcPr>
            <w:tcW w:w="1096" w:type="dxa"/>
            <w:hideMark/>
          </w:tcPr>
          <w:p w14:paraId="7DCA8BB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24</w:t>
            </w:r>
          </w:p>
        </w:tc>
      </w:tr>
      <w:tr w:rsidR="003E1D43" w:rsidRPr="00066352" w14:paraId="590D0240" w14:textId="77777777" w:rsidTr="00F815DA">
        <w:trPr>
          <w:trHeight w:val="729"/>
        </w:trPr>
        <w:tc>
          <w:tcPr>
            <w:tcW w:w="1003" w:type="dxa"/>
            <w:hideMark/>
          </w:tcPr>
          <w:p w14:paraId="53546DA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2-Ⅰ</w:t>
            </w:r>
          </w:p>
        </w:tc>
        <w:tc>
          <w:tcPr>
            <w:tcW w:w="783" w:type="dxa"/>
            <w:hideMark/>
          </w:tcPr>
          <w:p w14:paraId="690015B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0.7</w:t>
            </w:r>
          </w:p>
        </w:tc>
        <w:tc>
          <w:tcPr>
            <w:tcW w:w="1163" w:type="dxa"/>
            <w:hideMark/>
          </w:tcPr>
          <w:p w14:paraId="434E944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hideMark/>
          </w:tcPr>
          <w:p w14:paraId="389A5BF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hideMark/>
          </w:tcPr>
          <w:p w14:paraId="14C761E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7</w:t>
            </w:r>
          </w:p>
        </w:tc>
        <w:tc>
          <w:tcPr>
            <w:tcW w:w="1150" w:type="dxa"/>
            <w:hideMark/>
          </w:tcPr>
          <w:p w14:paraId="4003E43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D, L</w:t>
            </w:r>
          </w:p>
        </w:tc>
        <w:tc>
          <w:tcPr>
            <w:tcW w:w="1226" w:type="dxa"/>
            <w:hideMark/>
          </w:tcPr>
          <w:p w14:paraId="7055D64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w:t>
            </w:r>
          </w:p>
        </w:tc>
        <w:tc>
          <w:tcPr>
            <w:tcW w:w="1789" w:type="dxa"/>
            <w:hideMark/>
          </w:tcPr>
          <w:p w14:paraId="280A87FC"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Moderate</w:t>
            </w:r>
          </w:p>
        </w:tc>
        <w:tc>
          <w:tcPr>
            <w:tcW w:w="1194" w:type="dxa"/>
            <w:hideMark/>
          </w:tcPr>
          <w:p w14:paraId="370FA3E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None</w:t>
            </w:r>
          </w:p>
        </w:tc>
        <w:tc>
          <w:tcPr>
            <w:tcW w:w="1043" w:type="dxa"/>
            <w:hideMark/>
          </w:tcPr>
          <w:p w14:paraId="6E0F376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576</w:t>
            </w:r>
          </w:p>
        </w:tc>
        <w:tc>
          <w:tcPr>
            <w:tcW w:w="1016" w:type="dxa"/>
            <w:hideMark/>
          </w:tcPr>
          <w:p w14:paraId="58CD082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2009</w:t>
            </w:r>
          </w:p>
        </w:tc>
        <w:tc>
          <w:tcPr>
            <w:tcW w:w="1096" w:type="dxa"/>
            <w:hideMark/>
          </w:tcPr>
          <w:p w14:paraId="4CBF117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r>
      <w:tr w:rsidR="003E1D43" w:rsidRPr="00066352" w14:paraId="30145600" w14:textId="77777777" w:rsidTr="00F815DA">
        <w:trPr>
          <w:trHeight w:val="729"/>
        </w:trPr>
        <w:tc>
          <w:tcPr>
            <w:tcW w:w="1003" w:type="dxa"/>
            <w:hideMark/>
          </w:tcPr>
          <w:p w14:paraId="631C482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2-Ⅱ</w:t>
            </w:r>
          </w:p>
        </w:tc>
        <w:tc>
          <w:tcPr>
            <w:tcW w:w="783" w:type="dxa"/>
            <w:hideMark/>
          </w:tcPr>
          <w:p w14:paraId="4F0930D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1.0</w:t>
            </w:r>
          </w:p>
        </w:tc>
        <w:tc>
          <w:tcPr>
            <w:tcW w:w="1163" w:type="dxa"/>
            <w:hideMark/>
          </w:tcPr>
          <w:p w14:paraId="2EA3DA8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hideMark/>
          </w:tcPr>
          <w:p w14:paraId="5F0299B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OFC</w:t>
            </w:r>
          </w:p>
        </w:tc>
        <w:tc>
          <w:tcPr>
            <w:tcW w:w="1110" w:type="dxa"/>
            <w:hideMark/>
          </w:tcPr>
          <w:p w14:paraId="01D028A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w:t>
            </w:r>
          </w:p>
        </w:tc>
        <w:tc>
          <w:tcPr>
            <w:tcW w:w="1150" w:type="dxa"/>
            <w:hideMark/>
          </w:tcPr>
          <w:p w14:paraId="29B4250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w:t>
            </w:r>
          </w:p>
        </w:tc>
        <w:tc>
          <w:tcPr>
            <w:tcW w:w="1226" w:type="dxa"/>
            <w:hideMark/>
          </w:tcPr>
          <w:p w14:paraId="7EFC296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w:t>
            </w:r>
          </w:p>
        </w:tc>
        <w:tc>
          <w:tcPr>
            <w:tcW w:w="1789" w:type="dxa"/>
            <w:hideMark/>
          </w:tcPr>
          <w:p w14:paraId="2ACDFC7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Mild</w:t>
            </w:r>
          </w:p>
        </w:tc>
        <w:tc>
          <w:tcPr>
            <w:tcW w:w="1194" w:type="dxa"/>
            <w:hideMark/>
          </w:tcPr>
          <w:p w14:paraId="3B5B07D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HC, IF</w:t>
            </w:r>
          </w:p>
        </w:tc>
        <w:tc>
          <w:tcPr>
            <w:tcW w:w="1043" w:type="dxa"/>
            <w:hideMark/>
          </w:tcPr>
          <w:p w14:paraId="2E47CBAC"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576</w:t>
            </w:r>
          </w:p>
        </w:tc>
        <w:tc>
          <w:tcPr>
            <w:tcW w:w="1016" w:type="dxa"/>
            <w:hideMark/>
          </w:tcPr>
          <w:p w14:paraId="135D4ACC"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1062</w:t>
            </w:r>
          </w:p>
        </w:tc>
        <w:tc>
          <w:tcPr>
            <w:tcW w:w="1096" w:type="dxa"/>
            <w:hideMark/>
          </w:tcPr>
          <w:p w14:paraId="7D0B284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24</w:t>
            </w:r>
          </w:p>
        </w:tc>
      </w:tr>
      <w:tr w:rsidR="003E1D43" w:rsidRPr="00066352" w14:paraId="6FF8873D" w14:textId="77777777" w:rsidTr="00F815DA">
        <w:trPr>
          <w:trHeight w:val="729"/>
        </w:trPr>
        <w:tc>
          <w:tcPr>
            <w:tcW w:w="1003" w:type="dxa"/>
            <w:hideMark/>
          </w:tcPr>
          <w:p w14:paraId="173418B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lastRenderedPageBreak/>
              <w:t>3</w:t>
            </w:r>
          </w:p>
        </w:tc>
        <w:tc>
          <w:tcPr>
            <w:tcW w:w="783" w:type="dxa"/>
            <w:hideMark/>
          </w:tcPr>
          <w:p w14:paraId="44A5E33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1.9</w:t>
            </w:r>
          </w:p>
        </w:tc>
        <w:tc>
          <w:tcPr>
            <w:tcW w:w="1163" w:type="dxa"/>
            <w:hideMark/>
          </w:tcPr>
          <w:p w14:paraId="2B0AF65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hideMark/>
          </w:tcPr>
          <w:p w14:paraId="5E9A6D3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OFC</w:t>
            </w:r>
          </w:p>
        </w:tc>
        <w:tc>
          <w:tcPr>
            <w:tcW w:w="1110" w:type="dxa"/>
            <w:hideMark/>
          </w:tcPr>
          <w:p w14:paraId="655D5EA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w:t>
            </w:r>
          </w:p>
        </w:tc>
        <w:tc>
          <w:tcPr>
            <w:tcW w:w="1150" w:type="dxa"/>
            <w:hideMark/>
          </w:tcPr>
          <w:p w14:paraId="4A050DE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w:t>
            </w:r>
          </w:p>
        </w:tc>
        <w:tc>
          <w:tcPr>
            <w:tcW w:w="1226" w:type="dxa"/>
            <w:hideMark/>
          </w:tcPr>
          <w:p w14:paraId="3EF40E1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c>
          <w:tcPr>
            <w:tcW w:w="1789" w:type="dxa"/>
            <w:hideMark/>
          </w:tcPr>
          <w:p w14:paraId="33CD961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Moderate</w:t>
            </w:r>
          </w:p>
        </w:tc>
        <w:tc>
          <w:tcPr>
            <w:tcW w:w="1194" w:type="dxa"/>
            <w:hideMark/>
          </w:tcPr>
          <w:p w14:paraId="7104F03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HC, IF</w:t>
            </w:r>
          </w:p>
        </w:tc>
        <w:tc>
          <w:tcPr>
            <w:tcW w:w="1043" w:type="dxa"/>
            <w:hideMark/>
          </w:tcPr>
          <w:p w14:paraId="6580365C"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555</w:t>
            </w:r>
          </w:p>
        </w:tc>
        <w:tc>
          <w:tcPr>
            <w:tcW w:w="1016" w:type="dxa"/>
            <w:hideMark/>
          </w:tcPr>
          <w:p w14:paraId="02B2533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4097</w:t>
            </w:r>
          </w:p>
        </w:tc>
        <w:tc>
          <w:tcPr>
            <w:tcW w:w="1096" w:type="dxa"/>
            <w:hideMark/>
          </w:tcPr>
          <w:p w14:paraId="0E3059F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24</w:t>
            </w:r>
          </w:p>
        </w:tc>
      </w:tr>
      <w:tr w:rsidR="003E1D43" w:rsidRPr="00066352" w14:paraId="15860B4D" w14:textId="77777777" w:rsidTr="00F815DA">
        <w:trPr>
          <w:trHeight w:val="729"/>
        </w:trPr>
        <w:tc>
          <w:tcPr>
            <w:tcW w:w="1003" w:type="dxa"/>
            <w:hideMark/>
          </w:tcPr>
          <w:p w14:paraId="2C69219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4</w:t>
            </w:r>
          </w:p>
        </w:tc>
        <w:tc>
          <w:tcPr>
            <w:tcW w:w="783" w:type="dxa"/>
            <w:hideMark/>
          </w:tcPr>
          <w:p w14:paraId="5839EC5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0.7</w:t>
            </w:r>
          </w:p>
        </w:tc>
        <w:tc>
          <w:tcPr>
            <w:tcW w:w="1163" w:type="dxa"/>
            <w:hideMark/>
          </w:tcPr>
          <w:p w14:paraId="412C29E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hideMark/>
          </w:tcPr>
          <w:p w14:paraId="564F94F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hideMark/>
          </w:tcPr>
          <w:p w14:paraId="4613E8E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w:t>
            </w:r>
          </w:p>
        </w:tc>
        <w:tc>
          <w:tcPr>
            <w:tcW w:w="1150" w:type="dxa"/>
            <w:hideMark/>
          </w:tcPr>
          <w:p w14:paraId="04DBDAB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D, L, P, C</w:t>
            </w:r>
          </w:p>
        </w:tc>
        <w:tc>
          <w:tcPr>
            <w:tcW w:w="1226" w:type="dxa"/>
            <w:hideMark/>
          </w:tcPr>
          <w:p w14:paraId="01615ED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w:t>
            </w:r>
          </w:p>
        </w:tc>
        <w:tc>
          <w:tcPr>
            <w:tcW w:w="1789" w:type="dxa"/>
            <w:hideMark/>
          </w:tcPr>
          <w:p w14:paraId="0F7F395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Severe</w:t>
            </w:r>
          </w:p>
        </w:tc>
        <w:tc>
          <w:tcPr>
            <w:tcW w:w="1194" w:type="dxa"/>
            <w:hideMark/>
          </w:tcPr>
          <w:p w14:paraId="1EC7880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IF</w:t>
            </w:r>
          </w:p>
        </w:tc>
        <w:tc>
          <w:tcPr>
            <w:tcW w:w="1043" w:type="dxa"/>
            <w:hideMark/>
          </w:tcPr>
          <w:p w14:paraId="67BAA6E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hint="eastAsia"/>
                <w:color w:val="000000" w:themeColor="text1"/>
                <w:sz w:val="24"/>
                <w:szCs w:val="24"/>
              </w:rPr>
              <w:t>N</w:t>
            </w:r>
            <w:r w:rsidRPr="00066352">
              <w:rPr>
                <w:rFonts w:ascii="Times New Roman" w:hAnsi="Times New Roman" w:cs="Times New Roman"/>
                <w:color w:val="000000" w:themeColor="text1"/>
                <w:sz w:val="24"/>
                <w:szCs w:val="24"/>
              </w:rPr>
              <w:t>A</w:t>
            </w:r>
          </w:p>
        </w:tc>
        <w:tc>
          <w:tcPr>
            <w:tcW w:w="1016" w:type="dxa"/>
            <w:hideMark/>
          </w:tcPr>
          <w:p w14:paraId="7EA20E7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3428</w:t>
            </w:r>
          </w:p>
        </w:tc>
        <w:tc>
          <w:tcPr>
            <w:tcW w:w="1096" w:type="dxa"/>
            <w:hideMark/>
          </w:tcPr>
          <w:p w14:paraId="2A12279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r>
      <w:tr w:rsidR="003E1D43" w:rsidRPr="00066352" w14:paraId="7991A82D" w14:textId="77777777" w:rsidTr="00F815DA">
        <w:trPr>
          <w:trHeight w:val="729"/>
        </w:trPr>
        <w:tc>
          <w:tcPr>
            <w:tcW w:w="1003" w:type="dxa"/>
            <w:hideMark/>
          </w:tcPr>
          <w:p w14:paraId="526C3FF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w:t>
            </w:r>
          </w:p>
        </w:tc>
        <w:tc>
          <w:tcPr>
            <w:tcW w:w="783" w:type="dxa"/>
            <w:hideMark/>
          </w:tcPr>
          <w:p w14:paraId="1DDEF36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0.7</w:t>
            </w:r>
          </w:p>
        </w:tc>
        <w:tc>
          <w:tcPr>
            <w:tcW w:w="1163" w:type="dxa"/>
            <w:hideMark/>
          </w:tcPr>
          <w:p w14:paraId="0D2B5B0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Egg yolk</w:t>
            </w:r>
          </w:p>
        </w:tc>
        <w:tc>
          <w:tcPr>
            <w:tcW w:w="1763" w:type="dxa"/>
            <w:hideMark/>
          </w:tcPr>
          <w:p w14:paraId="534FFB6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hideMark/>
          </w:tcPr>
          <w:p w14:paraId="3E6B77E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7</w:t>
            </w:r>
          </w:p>
        </w:tc>
        <w:tc>
          <w:tcPr>
            <w:tcW w:w="1150" w:type="dxa"/>
            <w:hideMark/>
          </w:tcPr>
          <w:p w14:paraId="3BE4A81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w:t>
            </w:r>
          </w:p>
        </w:tc>
        <w:tc>
          <w:tcPr>
            <w:tcW w:w="1226" w:type="dxa"/>
            <w:hideMark/>
          </w:tcPr>
          <w:p w14:paraId="4E10A6BC"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w:t>
            </w:r>
          </w:p>
        </w:tc>
        <w:tc>
          <w:tcPr>
            <w:tcW w:w="1789" w:type="dxa"/>
            <w:hideMark/>
          </w:tcPr>
          <w:p w14:paraId="6FD95F3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Moderate</w:t>
            </w:r>
          </w:p>
        </w:tc>
        <w:tc>
          <w:tcPr>
            <w:tcW w:w="1194" w:type="dxa"/>
            <w:hideMark/>
          </w:tcPr>
          <w:p w14:paraId="0127014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IF</w:t>
            </w:r>
          </w:p>
        </w:tc>
        <w:tc>
          <w:tcPr>
            <w:tcW w:w="1043" w:type="dxa"/>
            <w:hideMark/>
          </w:tcPr>
          <w:p w14:paraId="5067AB5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hint="eastAsia"/>
                <w:color w:val="000000" w:themeColor="text1"/>
                <w:sz w:val="24"/>
                <w:szCs w:val="24"/>
              </w:rPr>
              <w:t>N</w:t>
            </w:r>
            <w:r w:rsidRPr="00066352">
              <w:rPr>
                <w:rFonts w:ascii="Times New Roman" w:hAnsi="Times New Roman" w:cs="Times New Roman"/>
                <w:color w:val="000000" w:themeColor="text1"/>
                <w:sz w:val="24"/>
                <w:szCs w:val="24"/>
              </w:rPr>
              <w:t>A</w:t>
            </w:r>
          </w:p>
        </w:tc>
        <w:tc>
          <w:tcPr>
            <w:tcW w:w="1016" w:type="dxa"/>
            <w:hideMark/>
          </w:tcPr>
          <w:p w14:paraId="3424560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1948</w:t>
            </w:r>
          </w:p>
        </w:tc>
        <w:tc>
          <w:tcPr>
            <w:tcW w:w="1096" w:type="dxa"/>
            <w:hideMark/>
          </w:tcPr>
          <w:p w14:paraId="7105762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4</w:t>
            </w:r>
          </w:p>
        </w:tc>
      </w:tr>
      <w:tr w:rsidR="003E1D43" w:rsidRPr="00066352" w14:paraId="28C155EE" w14:textId="77777777" w:rsidTr="00F815DA">
        <w:trPr>
          <w:trHeight w:val="729"/>
        </w:trPr>
        <w:tc>
          <w:tcPr>
            <w:tcW w:w="1003" w:type="dxa"/>
            <w:hideMark/>
          </w:tcPr>
          <w:p w14:paraId="63EDBE9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c>
          <w:tcPr>
            <w:tcW w:w="783" w:type="dxa"/>
            <w:hideMark/>
          </w:tcPr>
          <w:p w14:paraId="32B62EA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0.8</w:t>
            </w:r>
          </w:p>
        </w:tc>
        <w:tc>
          <w:tcPr>
            <w:tcW w:w="1163" w:type="dxa"/>
            <w:hideMark/>
          </w:tcPr>
          <w:p w14:paraId="1229920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Whole egg</w:t>
            </w:r>
          </w:p>
        </w:tc>
        <w:tc>
          <w:tcPr>
            <w:tcW w:w="1763" w:type="dxa"/>
            <w:hideMark/>
          </w:tcPr>
          <w:p w14:paraId="5FD478C0"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hideMark/>
          </w:tcPr>
          <w:p w14:paraId="752945E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3</w:t>
            </w:r>
          </w:p>
        </w:tc>
        <w:tc>
          <w:tcPr>
            <w:tcW w:w="1150" w:type="dxa"/>
            <w:hideMark/>
          </w:tcPr>
          <w:p w14:paraId="4B6B74D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D, L, P</w:t>
            </w:r>
          </w:p>
        </w:tc>
        <w:tc>
          <w:tcPr>
            <w:tcW w:w="1226" w:type="dxa"/>
            <w:hideMark/>
          </w:tcPr>
          <w:p w14:paraId="746DAE9F"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&gt;10</w:t>
            </w:r>
          </w:p>
        </w:tc>
        <w:tc>
          <w:tcPr>
            <w:tcW w:w="1789" w:type="dxa"/>
            <w:hideMark/>
          </w:tcPr>
          <w:p w14:paraId="2ED1002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Severe</w:t>
            </w:r>
          </w:p>
        </w:tc>
        <w:tc>
          <w:tcPr>
            <w:tcW w:w="1194" w:type="dxa"/>
            <w:hideMark/>
          </w:tcPr>
          <w:p w14:paraId="22FF8B5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IF</w:t>
            </w:r>
          </w:p>
        </w:tc>
        <w:tc>
          <w:tcPr>
            <w:tcW w:w="1043" w:type="dxa"/>
            <w:hideMark/>
          </w:tcPr>
          <w:p w14:paraId="40918B2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NA</w:t>
            </w:r>
          </w:p>
        </w:tc>
        <w:tc>
          <w:tcPr>
            <w:tcW w:w="1016" w:type="dxa"/>
            <w:hideMark/>
          </w:tcPr>
          <w:p w14:paraId="2A935AD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3771</w:t>
            </w:r>
          </w:p>
        </w:tc>
        <w:tc>
          <w:tcPr>
            <w:tcW w:w="1096" w:type="dxa"/>
            <w:hideMark/>
          </w:tcPr>
          <w:p w14:paraId="72119D0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r>
      <w:tr w:rsidR="003E1D43" w:rsidRPr="00066352" w14:paraId="273EE840" w14:textId="77777777" w:rsidTr="00F815DA">
        <w:trPr>
          <w:trHeight w:val="729"/>
        </w:trPr>
        <w:tc>
          <w:tcPr>
            <w:tcW w:w="1003" w:type="dxa"/>
            <w:hideMark/>
          </w:tcPr>
          <w:p w14:paraId="1C0A5D3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7-Ⅰ</w:t>
            </w:r>
          </w:p>
        </w:tc>
        <w:tc>
          <w:tcPr>
            <w:tcW w:w="783" w:type="dxa"/>
            <w:hideMark/>
          </w:tcPr>
          <w:p w14:paraId="54A69A9C"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0.5</w:t>
            </w:r>
          </w:p>
        </w:tc>
        <w:tc>
          <w:tcPr>
            <w:tcW w:w="1163" w:type="dxa"/>
            <w:hideMark/>
          </w:tcPr>
          <w:p w14:paraId="1686432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Rice</w:t>
            </w:r>
          </w:p>
        </w:tc>
        <w:tc>
          <w:tcPr>
            <w:tcW w:w="1763" w:type="dxa"/>
            <w:hideMark/>
          </w:tcPr>
          <w:p w14:paraId="37CA883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hideMark/>
          </w:tcPr>
          <w:p w14:paraId="6FD821B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3</w:t>
            </w:r>
          </w:p>
        </w:tc>
        <w:tc>
          <w:tcPr>
            <w:tcW w:w="1150" w:type="dxa"/>
            <w:hideMark/>
          </w:tcPr>
          <w:p w14:paraId="51920F6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 P</w:t>
            </w:r>
          </w:p>
        </w:tc>
        <w:tc>
          <w:tcPr>
            <w:tcW w:w="1226" w:type="dxa"/>
            <w:hideMark/>
          </w:tcPr>
          <w:p w14:paraId="6B656C3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4</w:t>
            </w:r>
          </w:p>
        </w:tc>
        <w:tc>
          <w:tcPr>
            <w:tcW w:w="1789" w:type="dxa"/>
            <w:hideMark/>
          </w:tcPr>
          <w:p w14:paraId="2CF60BC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Moderate</w:t>
            </w:r>
          </w:p>
        </w:tc>
        <w:tc>
          <w:tcPr>
            <w:tcW w:w="1194" w:type="dxa"/>
            <w:hideMark/>
          </w:tcPr>
          <w:p w14:paraId="762E539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IF</w:t>
            </w:r>
          </w:p>
        </w:tc>
        <w:tc>
          <w:tcPr>
            <w:tcW w:w="1043" w:type="dxa"/>
            <w:hideMark/>
          </w:tcPr>
          <w:p w14:paraId="6A4AA013"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886</w:t>
            </w:r>
          </w:p>
        </w:tc>
        <w:tc>
          <w:tcPr>
            <w:tcW w:w="1016" w:type="dxa"/>
            <w:hideMark/>
          </w:tcPr>
          <w:p w14:paraId="4BEBE46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1291</w:t>
            </w:r>
          </w:p>
        </w:tc>
        <w:tc>
          <w:tcPr>
            <w:tcW w:w="1096" w:type="dxa"/>
            <w:hideMark/>
          </w:tcPr>
          <w:p w14:paraId="33A6F62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r>
      <w:tr w:rsidR="003E1D43" w:rsidRPr="00066352" w14:paraId="0AFB0EE4" w14:textId="77777777" w:rsidTr="00F815DA">
        <w:trPr>
          <w:trHeight w:val="729"/>
        </w:trPr>
        <w:tc>
          <w:tcPr>
            <w:tcW w:w="1003" w:type="dxa"/>
            <w:hideMark/>
          </w:tcPr>
          <w:p w14:paraId="3360B92A"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7-Ⅱ</w:t>
            </w:r>
          </w:p>
        </w:tc>
        <w:tc>
          <w:tcPr>
            <w:tcW w:w="783" w:type="dxa"/>
            <w:hideMark/>
          </w:tcPr>
          <w:p w14:paraId="20AC58E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0.6</w:t>
            </w:r>
          </w:p>
        </w:tc>
        <w:tc>
          <w:tcPr>
            <w:tcW w:w="1163" w:type="dxa"/>
            <w:hideMark/>
          </w:tcPr>
          <w:p w14:paraId="0EDB44D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Rice</w:t>
            </w:r>
          </w:p>
        </w:tc>
        <w:tc>
          <w:tcPr>
            <w:tcW w:w="1763" w:type="dxa"/>
            <w:hideMark/>
          </w:tcPr>
          <w:p w14:paraId="0CEC214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ED</w:t>
            </w:r>
          </w:p>
        </w:tc>
        <w:tc>
          <w:tcPr>
            <w:tcW w:w="1110" w:type="dxa"/>
            <w:hideMark/>
          </w:tcPr>
          <w:p w14:paraId="59C482D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5</w:t>
            </w:r>
          </w:p>
        </w:tc>
        <w:tc>
          <w:tcPr>
            <w:tcW w:w="1150" w:type="dxa"/>
            <w:hideMark/>
          </w:tcPr>
          <w:p w14:paraId="62DC7634"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 P</w:t>
            </w:r>
          </w:p>
        </w:tc>
        <w:tc>
          <w:tcPr>
            <w:tcW w:w="1226" w:type="dxa"/>
            <w:hideMark/>
          </w:tcPr>
          <w:p w14:paraId="3EAF8BA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c>
          <w:tcPr>
            <w:tcW w:w="1789" w:type="dxa"/>
            <w:hideMark/>
          </w:tcPr>
          <w:p w14:paraId="6F8D223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Severe</w:t>
            </w:r>
          </w:p>
        </w:tc>
        <w:tc>
          <w:tcPr>
            <w:tcW w:w="1194" w:type="dxa"/>
            <w:hideMark/>
          </w:tcPr>
          <w:p w14:paraId="146679B1"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IF</w:t>
            </w:r>
          </w:p>
        </w:tc>
        <w:tc>
          <w:tcPr>
            <w:tcW w:w="1043" w:type="dxa"/>
            <w:hideMark/>
          </w:tcPr>
          <w:p w14:paraId="3A57296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886</w:t>
            </w:r>
          </w:p>
        </w:tc>
        <w:tc>
          <w:tcPr>
            <w:tcW w:w="1016" w:type="dxa"/>
            <w:hideMark/>
          </w:tcPr>
          <w:p w14:paraId="3CDB6347"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2911</w:t>
            </w:r>
          </w:p>
        </w:tc>
        <w:tc>
          <w:tcPr>
            <w:tcW w:w="1096" w:type="dxa"/>
            <w:hideMark/>
          </w:tcPr>
          <w:p w14:paraId="477C69F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w:t>
            </w:r>
          </w:p>
        </w:tc>
      </w:tr>
      <w:tr w:rsidR="003E1D43" w:rsidRPr="00066352" w14:paraId="313215D6" w14:textId="77777777" w:rsidTr="00F815DA">
        <w:trPr>
          <w:trHeight w:val="729"/>
        </w:trPr>
        <w:tc>
          <w:tcPr>
            <w:tcW w:w="1003" w:type="dxa"/>
            <w:hideMark/>
          </w:tcPr>
          <w:p w14:paraId="5C76FD9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8</w:t>
            </w:r>
          </w:p>
        </w:tc>
        <w:tc>
          <w:tcPr>
            <w:tcW w:w="783" w:type="dxa"/>
            <w:hideMark/>
          </w:tcPr>
          <w:p w14:paraId="5BEB95F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6.2</w:t>
            </w:r>
          </w:p>
        </w:tc>
        <w:tc>
          <w:tcPr>
            <w:tcW w:w="1163" w:type="dxa"/>
            <w:hideMark/>
          </w:tcPr>
          <w:p w14:paraId="77E53E8E"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Short-neck clam</w:t>
            </w:r>
          </w:p>
        </w:tc>
        <w:tc>
          <w:tcPr>
            <w:tcW w:w="1763" w:type="dxa"/>
            <w:hideMark/>
          </w:tcPr>
          <w:p w14:paraId="309DCA4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OFC</w:t>
            </w:r>
          </w:p>
        </w:tc>
        <w:tc>
          <w:tcPr>
            <w:tcW w:w="1110" w:type="dxa"/>
            <w:hideMark/>
          </w:tcPr>
          <w:p w14:paraId="30657622"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10</w:t>
            </w:r>
          </w:p>
        </w:tc>
        <w:tc>
          <w:tcPr>
            <w:tcW w:w="1150" w:type="dxa"/>
            <w:hideMark/>
          </w:tcPr>
          <w:p w14:paraId="3F71D19D"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V, L</w:t>
            </w:r>
          </w:p>
        </w:tc>
        <w:tc>
          <w:tcPr>
            <w:tcW w:w="1226" w:type="dxa"/>
            <w:hideMark/>
          </w:tcPr>
          <w:p w14:paraId="0C83570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7</w:t>
            </w:r>
          </w:p>
        </w:tc>
        <w:tc>
          <w:tcPr>
            <w:tcW w:w="1789" w:type="dxa"/>
            <w:hideMark/>
          </w:tcPr>
          <w:p w14:paraId="25AE0C45"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Moderate</w:t>
            </w:r>
          </w:p>
        </w:tc>
        <w:tc>
          <w:tcPr>
            <w:tcW w:w="1194" w:type="dxa"/>
            <w:hideMark/>
          </w:tcPr>
          <w:p w14:paraId="21198869"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HC, IF</w:t>
            </w:r>
          </w:p>
        </w:tc>
        <w:tc>
          <w:tcPr>
            <w:tcW w:w="1043" w:type="dxa"/>
            <w:hideMark/>
          </w:tcPr>
          <w:p w14:paraId="6B92F9B6"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360</w:t>
            </w:r>
          </w:p>
        </w:tc>
        <w:tc>
          <w:tcPr>
            <w:tcW w:w="1016" w:type="dxa"/>
            <w:hideMark/>
          </w:tcPr>
          <w:p w14:paraId="0082A598"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3748</w:t>
            </w:r>
          </w:p>
        </w:tc>
        <w:tc>
          <w:tcPr>
            <w:tcW w:w="1096" w:type="dxa"/>
            <w:hideMark/>
          </w:tcPr>
          <w:p w14:paraId="2F17700B" w14:textId="77777777" w:rsidR="003E1D43" w:rsidRPr="00066352" w:rsidRDefault="003E1D43" w:rsidP="00F815DA">
            <w:pPr>
              <w:spacing w:line="480" w:lineRule="auto"/>
              <w:rPr>
                <w:rFonts w:ascii="Times New Roman" w:hAnsi="Times New Roman" w:cs="Times New Roman"/>
                <w:color w:val="000000" w:themeColor="text1"/>
                <w:sz w:val="24"/>
                <w:szCs w:val="24"/>
              </w:rPr>
            </w:pPr>
            <w:r w:rsidRPr="00066352">
              <w:rPr>
                <w:rFonts w:ascii="Times New Roman" w:hAnsi="Times New Roman" w:cs="Times New Roman"/>
                <w:color w:val="000000" w:themeColor="text1"/>
                <w:sz w:val="24"/>
                <w:szCs w:val="24"/>
              </w:rPr>
              <w:t>24</w:t>
            </w:r>
          </w:p>
        </w:tc>
      </w:tr>
    </w:tbl>
    <w:p w14:paraId="480DD7A7" w14:textId="17C16963" w:rsidR="00E11C31" w:rsidRPr="00334E81" w:rsidRDefault="003E1D43" w:rsidP="00606815">
      <w:pPr>
        <w:spacing w:line="480" w:lineRule="auto"/>
        <w:rPr>
          <w:rFonts w:ascii="Times New Roman" w:hAnsi="Times New Roman"/>
          <w:b/>
          <w:color w:val="000000" w:themeColor="text1"/>
          <w:sz w:val="24"/>
          <w:szCs w:val="24"/>
        </w:rPr>
      </w:pPr>
      <w:r w:rsidRPr="00066352">
        <w:rPr>
          <w:rFonts w:ascii="Times New Roman" w:hAnsi="Times New Roman"/>
          <w:color w:val="000000" w:themeColor="text1"/>
          <w:sz w:val="24"/>
          <w:szCs w:val="24"/>
        </w:rPr>
        <w:lastRenderedPageBreak/>
        <w:t xml:space="preserve">FPIES, </w:t>
      </w:r>
      <w:r w:rsidRPr="00066352">
        <w:rPr>
          <w:rFonts w:ascii="Times New Roman" w:hAnsi="Times New Roman"/>
          <w:color w:val="000000" w:themeColor="text1"/>
          <w:kern w:val="24"/>
        </w:rPr>
        <w:t xml:space="preserve">food protein-induced enterocolitis syndrome; </w:t>
      </w:r>
      <w:r w:rsidRPr="00066352">
        <w:rPr>
          <w:rFonts w:ascii="Times New Roman" w:hAnsi="Times New Roman"/>
          <w:color w:val="000000" w:themeColor="text1"/>
          <w:sz w:val="24"/>
          <w:szCs w:val="24"/>
        </w:rPr>
        <w:t>TARC, thymus and activation-regulated chemokine; ED, emergency department visit; OFC, oral food challenge; V, vomiting; D, diarrhea; L, lethargy; P, pallor; C, cyanosis, HC, intravenous hydrocortisone; IF, intravenous fluid; NA, not available.</w:t>
      </w:r>
    </w:p>
    <w:p w14:paraId="2A4B74A5" w14:textId="77777777" w:rsidR="00425708" w:rsidRPr="008501AC" w:rsidRDefault="00425708" w:rsidP="00220C10">
      <w:pPr>
        <w:pStyle w:val="Standardunter5"/>
        <w:spacing w:before="0" w:line="360" w:lineRule="auto"/>
        <w:ind w:left="0"/>
        <w:rPr>
          <w:rFonts w:eastAsia="Times New Roman"/>
          <w:color w:val="000000" w:themeColor="text1"/>
          <w:sz w:val="24"/>
          <w:szCs w:val="24"/>
          <w:lang w:eastAsia="en-GB"/>
        </w:rPr>
      </w:pPr>
    </w:p>
    <w:sectPr w:rsidR="00425708" w:rsidRPr="008501AC" w:rsidSect="00606815">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383B" w14:textId="77777777" w:rsidR="003C008E" w:rsidRDefault="003C008E" w:rsidP="001B170B">
      <w:pPr>
        <w:spacing w:after="0" w:line="240" w:lineRule="auto"/>
      </w:pPr>
      <w:r>
        <w:separator/>
      </w:r>
    </w:p>
  </w:endnote>
  <w:endnote w:type="continuationSeparator" w:id="0">
    <w:p w14:paraId="0D421EF8" w14:textId="77777777" w:rsidR="003C008E" w:rsidRDefault="003C008E"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8A1E" w14:textId="77777777" w:rsidR="001B170B" w:rsidRDefault="001B170B">
    <w:pPr>
      <w:pStyle w:val="aa"/>
      <w:jc w:val="right"/>
    </w:pPr>
    <w:r>
      <w:fldChar w:fldCharType="begin"/>
    </w:r>
    <w:r>
      <w:instrText>PAGE   \* MERGEFORMAT</w:instrText>
    </w:r>
    <w:r>
      <w:fldChar w:fldCharType="separate"/>
    </w:r>
    <w:r w:rsidR="00EB080F" w:rsidRPr="00EB080F">
      <w:rPr>
        <w:noProof/>
        <w:lang w:val="de-DE"/>
      </w:rPr>
      <w:t>7</w:t>
    </w:r>
    <w:r>
      <w:fldChar w:fldCharType="end"/>
    </w:r>
  </w:p>
  <w:p w14:paraId="0FFC811C" w14:textId="77777777" w:rsidR="001B170B" w:rsidRDefault="001B17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E3B8" w14:textId="77777777" w:rsidR="003C008E" w:rsidRDefault="003C008E" w:rsidP="001B170B">
      <w:pPr>
        <w:spacing w:after="0" w:line="240" w:lineRule="auto"/>
      </w:pPr>
      <w:r>
        <w:separator/>
      </w:r>
    </w:p>
  </w:footnote>
  <w:footnote w:type="continuationSeparator" w:id="0">
    <w:p w14:paraId="41171DCE" w14:textId="77777777" w:rsidR="003C008E" w:rsidRDefault="003C008E"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99E"/>
    <w:multiLevelType w:val="hybridMultilevel"/>
    <w:tmpl w:val="E092E0D4"/>
    <w:lvl w:ilvl="0" w:tplc="0D18C97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6D67BE2"/>
    <w:multiLevelType w:val="hybridMultilevel"/>
    <w:tmpl w:val="B178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DateAndTime/>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44E"/>
    <w:rsid w:val="00015D91"/>
    <w:rsid w:val="00066C51"/>
    <w:rsid w:val="00081AA1"/>
    <w:rsid w:val="00082A0F"/>
    <w:rsid w:val="000A1885"/>
    <w:rsid w:val="000B7938"/>
    <w:rsid w:val="00106CCA"/>
    <w:rsid w:val="00130C2F"/>
    <w:rsid w:val="001417CD"/>
    <w:rsid w:val="001667D3"/>
    <w:rsid w:val="001A1764"/>
    <w:rsid w:val="001A5168"/>
    <w:rsid w:val="001A55BD"/>
    <w:rsid w:val="001A6973"/>
    <w:rsid w:val="001B170B"/>
    <w:rsid w:val="001B6737"/>
    <w:rsid w:val="00220C10"/>
    <w:rsid w:val="002321C9"/>
    <w:rsid w:val="002337C9"/>
    <w:rsid w:val="002360F1"/>
    <w:rsid w:val="00254C82"/>
    <w:rsid w:val="00257B94"/>
    <w:rsid w:val="002659A4"/>
    <w:rsid w:val="002844B3"/>
    <w:rsid w:val="00287527"/>
    <w:rsid w:val="002B17F8"/>
    <w:rsid w:val="002B525B"/>
    <w:rsid w:val="002D385F"/>
    <w:rsid w:val="002E0899"/>
    <w:rsid w:val="003165AC"/>
    <w:rsid w:val="00332B41"/>
    <w:rsid w:val="003438B2"/>
    <w:rsid w:val="00346341"/>
    <w:rsid w:val="00355FF8"/>
    <w:rsid w:val="00360943"/>
    <w:rsid w:val="00365221"/>
    <w:rsid w:val="00370C3D"/>
    <w:rsid w:val="00380E78"/>
    <w:rsid w:val="003824FD"/>
    <w:rsid w:val="003A0154"/>
    <w:rsid w:val="003C008E"/>
    <w:rsid w:val="003C0CD9"/>
    <w:rsid w:val="003E02A1"/>
    <w:rsid w:val="003E1D43"/>
    <w:rsid w:val="0041628E"/>
    <w:rsid w:val="004175D9"/>
    <w:rsid w:val="00421384"/>
    <w:rsid w:val="00425708"/>
    <w:rsid w:val="00434C6A"/>
    <w:rsid w:val="00446204"/>
    <w:rsid w:val="0046670E"/>
    <w:rsid w:val="004708E7"/>
    <w:rsid w:val="004856A5"/>
    <w:rsid w:val="004B6784"/>
    <w:rsid w:val="004D0608"/>
    <w:rsid w:val="004D1F10"/>
    <w:rsid w:val="004E43D6"/>
    <w:rsid w:val="00512456"/>
    <w:rsid w:val="00533857"/>
    <w:rsid w:val="005616B9"/>
    <w:rsid w:val="00591C87"/>
    <w:rsid w:val="005A4F7B"/>
    <w:rsid w:val="005B088E"/>
    <w:rsid w:val="00606815"/>
    <w:rsid w:val="00667B59"/>
    <w:rsid w:val="006B6723"/>
    <w:rsid w:val="006C700A"/>
    <w:rsid w:val="006E33CC"/>
    <w:rsid w:val="006F1898"/>
    <w:rsid w:val="006F5D78"/>
    <w:rsid w:val="007063D6"/>
    <w:rsid w:val="00735EC3"/>
    <w:rsid w:val="00773AA5"/>
    <w:rsid w:val="00780892"/>
    <w:rsid w:val="00781B08"/>
    <w:rsid w:val="00782A2B"/>
    <w:rsid w:val="007912FB"/>
    <w:rsid w:val="007C4A83"/>
    <w:rsid w:val="007F1853"/>
    <w:rsid w:val="007F34BA"/>
    <w:rsid w:val="0080624F"/>
    <w:rsid w:val="00821556"/>
    <w:rsid w:val="00840FE0"/>
    <w:rsid w:val="008501AC"/>
    <w:rsid w:val="00877878"/>
    <w:rsid w:val="008808F0"/>
    <w:rsid w:val="008851FC"/>
    <w:rsid w:val="00894588"/>
    <w:rsid w:val="008B3E03"/>
    <w:rsid w:val="008C19F8"/>
    <w:rsid w:val="008E19F8"/>
    <w:rsid w:val="009249CC"/>
    <w:rsid w:val="0099133D"/>
    <w:rsid w:val="009A66F0"/>
    <w:rsid w:val="009B6976"/>
    <w:rsid w:val="009C163B"/>
    <w:rsid w:val="009F38B5"/>
    <w:rsid w:val="009F69C1"/>
    <w:rsid w:val="00A43EEE"/>
    <w:rsid w:val="00A73AF6"/>
    <w:rsid w:val="00A8354D"/>
    <w:rsid w:val="00A85AC3"/>
    <w:rsid w:val="00AB56EE"/>
    <w:rsid w:val="00AD352E"/>
    <w:rsid w:val="00AF5E07"/>
    <w:rsid w:val="00B07BE2"/>
    <w:rsid w:val="00B24CEC"/>
    <w:rsid w:val="00B87E49"/>
    <w:rsid w:val="00BA2A6C"/>
    <w:rsid w:val="00BA508E"/>
    <w:rsid w:val="00BB1728"/>
    <w:rsid w:val="00BF0794"/>
    <w:rsid w:val="00BF2BE1"/>
    <w:rsid w:val="00C03E32"/>
    <w:rsid w:val="00C04B55"/>
    <w:rsid w:val="00C151EF"/>
    <w:rsid w:val="00C22796"/>
    <w:rsid w:val="00C67AD5"/>
    <w:rsid w:val="00C82A55"/>
    <w:rsid w:val="00CE51BF"/>
    <w:rsid w:val="00D14038"/>
    <w:rsid w:val="00D33352"/>
    <w:rsid w:val="00D518C0"/>
    <w:rsid w:val="00DA3EBF"/>
    <w:rsid w:val="00E0085F"/>
    <w:rsid w:val="00E10039"/>
    <w:rsid w:val="00E106C1"/>
    <w:rsid w:val="00E11C31"/>
    <w:rsid w:val="00E14791"/>
    <w:rsid w:val="00E3417E"/>
    <w:rsid w:val="00E51299"/>
    <w:rsid w:val="00E56DFA"/>
    <w:rsid w:val="00E70116"/>
    <w:rsid w:val="00E83CD0"/>
    <w:rsid w:val="00E9599D"/>
    <w:rsid w:val="00EA5C12"/>
    <w:rsid w:val="00EB080F"/>
    <w:rsid w:val="00EB649E"/>
    <w:rsid w:val="00EC0031"/>
    <w:rsid w:val="00ED5EA0"/>
    <w:rsid w:val="00EE3F56"/>
    <w:rsid w:val="00EE5261"/>
    <w:rsid w:val="00EF28A8"/>
    <w:rsid w:val="00F112EC"/>
    <w:rsid w:val="00F36088"/>
    <w:rsid w:val="00F54A1E"/>
    <w:rsid w:val="00F558FF"/>
    <w:rsid w:val="00FA005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E105D"/>
  <w15:chartTrackingRefBased/>
  <w15:docId w15:val="{75365DC8-6E5C-4D4A-BC56-35AE85E1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6">
    <w:name w:val="heading 6"/>
    <w:basedOn w:val="a"/>
    <w:next w:val="a"/>
    <w:link w:val="60"/>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0">
    <w:name w:val="見出し 6 (文字)"/>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a7"/>
    <w:uiPriority w:val="99"/>
    <w:semiHidden/>
    <w:unhideWhenUsed/>
    <w:rsid w:val="00015D91"/>
    <w:rPr>
      <w:sz w:val="20"/>
      <w:szCs w:val="20"/>
    </w:rPr>
  </w:style>
  <w:style w:type="character" w:customStyle="1" w:styleId="a7">
    <w:name w:val="コメント文字列 (文字)"/>
    <w:link w:val="a6"/>
    <w:uiPriority w:val="99"/>
    <w:semiHidden/>
    <w:rsid w:val="00015D91"/>
    <w:rPr>
      <w:lang w:eastAsia="en-US"/>
    </w:rPr>
  </w:style>
  <w:style w:type="paragraph" w:styleId="a8">
    <w:name w:val="header"/>
    <w:basedOn w:val="a"/>
    <w:link w:val="a9"/>
    <w:uiPriority w:val="99"/>
    <w:unhideWhenUsed/>
    <w:rsid w:val="001B170B"/>
    <w:pPr>
      <w:tabs>
        <w:tab w:val="center" w:pos="4536"/>
        <w:tab w:val="right" w:pos="9072"/>
      </w:tabs>
    </w:pPr>
  </w:style>
  <w:style w:type="character" w:customStyle="1" w:styleId="a9">
    <w:name w:val="ヘッダー (文字)"/>
    <w:link w:val="a8"/>
    <w:uiPriority w:val="99"/>
    <w:rsid w:val="001B170B"/>
    <w:rPr>
      <w:sz w:val="22"/>
      <w:szCs w:val="22"/>
      <w:lang w:eastAsia="en-US"/>
    </w:rPr>
  </w:style>
  <w:style w:type="paragraph" w:styleId="aa">
    <w:name w:val="footer"/>
    <w:basedOn w:val="a"/>
    <w:link w:val="ab"/>
    <w:uiPriority w:val="99"/>
    <w:unhideWhenUsed/>
    <w:rsid w:val="001B170B"/>
    <w:pPr>
      <w:tabs>
        <w:tab w:val="center" w:pos="4536"/>
        <w:tab w:val="right" w:pos="9072"/>
      </w:tabs>
    </w:pPr>
  </w:style>
  <w:style w:type="character" w:customStyle="1" w:styleId="ab">
    <w:name w:val="フッター (文字)"/>
    <w:link w:val="aa"/>
    <w:uiPriority w:val="99"/>
    <w:rsid w:val="001B170B"/>
    <w:rPr>
      <w:sz w:val="22"/>
      <w:szCs w:val="22"/>
      <w:lang w:eastAsia="en-US"/>
    </w:rPr>
  </w:style>
  <w:style w:type="paragraph" w:styleId="ac">
    <w:name w:val="footnote text"/>
    <w:basedOn w:val="a"/>
    <w:link w:val="ad"/>
    <w:uiPriority w:val="99"/>
    <w:semiHidden/>
    <w:unhideWhenUsed/>
    <w:rsid w:val="003E02A1"/>
    <w:rPr>
      <w:sz w:val="20"/>
      <w:szCs w:val="20"/>
    </w:rPr>
  </w:style>
  <w:style w:type="character" w:customStyle="1" w:styleId="ad">
    <w:name w:val="脚注文字列 (文字)"/>
    <w:link w:val="ac"/>
    <w:uiPriority w:val="99"/>
    <w:semiHidden/>
    <w:rsid w:val="003E02A1"/>
    <w:rPr>
      <w:lang w:eastAsia="en-US"/>
    </w:rPr>
  </w:style>
  <w:style w:type="character" w:styleId="ae">
    <w:name w:val="footnote reference"/>
    <w:uiPriority w:val="99"/>
    <w:semiHidden/>
    <w:unhideWhenUsed/>
    <w:rsid w:val="003E02A1"/>
    <w:rPr>
      <w:vertAlign w:val="superscript"/>
    </w:rPr>
  </w:style>
  <w:style w:type="paragraph" w:styleId="af">
    <w:name w:val="Balloon Text"/>
    <w:basedOn w:val="a"/>
    <w:link w:val="af0"/>
    <w:uiPriority w:val="99"/>
    <w:semiHidden/>
    <w:unhideWhenUsed/>
    <w:rsid w:val="00B07BE2"/>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BE2"/>
    <w:rPr>
      <w:rFonts w:asciiTheme="majorHAnsi" w:eastAsiaTheme="majorEastAsia" w:hAnsiTheme="majorHAnsi" w:cstheme="majorBidi"/>
      <w:sz w:val="18"/>
      <w:szCs w:val="18"/>
      <w:lang w:eastAsia="en-US"/>
    </w:rPr>
  </w:style>
  <w:style w:type="paragraph" w:styleId="af1">
    <w:name w:val="annotation subject"/>
    <w:basedOn w:val="a6"/>
    <w:next w:val="a6"/>
    <w:link w:val="af2"/>
    <w:uiPriority w:val="99"/>
    <w:semiHidden/>
    <w:unhideWhenUsed/>
    <w:rsid w:val="008808F0"/>
    <w:pPr>
      <w:spacing w:line="240" w:lineRule="auto"/>
    </w:pPr>
    <w:rPr>
      <w:b/>
      <w:bCs/>
    </w:rPr>
  </w:style>
  <w:style w:type="character" w:customStyle="1" w:styleId="af2">
    <w:name w:val="コメント内容 (文字)"/>
    <w:basedOn w:val="a7"/>
    <w:link w:val="af1"/>
    <w:uiPriority w:val="99"/>
    <w:semiHidden/>
    <w:rsid w:val="008808F0"/>
    <w:rPr>
      <w:b/>
      <w:bCs/>
      <w:lang w:eastAsia="en-US"/>
    </w:rPr>
  </w:style>
  <w:style w:type="paragraph" w:styleId="af3">
    <w:name w:val="Revision"/>
    <w:hidden/>
    <w:uiPriority w:val="99"/>
    <w:semiHidden/>
    <w:rsid w:val="008808F0"/>
    <w:rPr>
      <w:sz w:val="22"/>
      <w:szCs w:val="22"/>
      <w:lang w:eastAsia="en-US"/>
    </w:rPr>
  </w:style>
  <w:style w:type="paragraph" w:styleId="Web">
    <w:name w:val="Normal (Web)"/>
    <w:basedOn w:val="a"/>
    <w:uiPriority w:val="99"/>
    <w:unhideWhenUsed/>
    <w:rsid w:val="003E1D43"/>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table" w:styleId="af4">
    <w:name w:val="Table Grid"/>
    <w:basedOn w:val="a1"/>
    <w:uiPriority w:val="39"/>
    <w:rsid w:val="003E1D43"/>
    <w:rPr>
      <w:rFonts w:asciiTheme="minorHAnsi"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CE5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634</Words>
  <Characters>3615</Characters>
  <Application>Microsoft Office Word</Application>
  <DocSecurity>0</DocSecurity>
  <Lines>30</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4241</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7208996</vt:i4>
      </vt:variant>
      <vt:variant>
        <vt:i4>6</vt:i4>
      </vt:variant>
      <vt:variant>
        <vt:i4>0</vt:i4>
      </vt:variant>
      <vt:variant>
        <vt:i4>5</vt:i4>
      </vt:variant>
      <vt:variant>
        <vt:lpwstr>https://eur02.safelinks.protection.outlook.com/?url=https%3A%2F%2Fwww.nc3rs.org.uk%2Farrive-guidelines&amp;data=02%7C01%7Cauthor-guidelines%40karger.com%7C28323ed23d5b464cb3c008d7c9e5e6a7%7C69e7eb606e904a0590b15b8d6d697087%7C0%7C0%7C637199861558596413&amp;sdata=SQowW%2BVYarrBPBbuvB6BbKQemI%2Bq68I4PiFv6kNB8gY%3D&amp;reserved=0</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英士</dc:creator>
  <cp:keywords/>
  <cp:lastModifiedBy>牧田 英士</cp:lastModifiedBy>
  <cp:revision>5</cp:revision>
  <dcterms:created xsi:type="dcterms:W3CDTF">2020-07-31T15:02:00Z</dcterms:created>
  <dcterms:modified xsi:type="dcterms:W3CDTF">2020-07-31T17:39:00Z</dcterms:modified>
</cp:coreProperties>
</file>