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61"/>
        <w:tblW w:w="4740" w:type="dxa"/>
        <w:tblLayout w:type="fixed"/>
        <w:tblLook w:val="04A0" w:firstRow="1" w:lastRow="0" w:firstColumn="1" w:lastColumn="0" w:noHBand="0" w:noVBand="1"/>
      </w:tblPr>
      <w:tblGrid>
        <w:gridCol w:w="768"/>
        <w:gridCol w:w="2808"/>
        <w:gridCol w:w="1164"/>
      </w:tblGrid>
      <w:tr w:rsidR="009133B8" w:rsidRPr="00806464" w14:paraId="275F252F" w14:textId="77777777" w:rsidTr="00FF79FF">
        <w:tc>
          <w:tcPr>
            <w:tcW w:w="768" w:type="dxa"/>
          </w:tcPr>
          <w:p w14:paraId="54BB45C9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Rank</w:t>
            </w:r>
          </w:p>
        </w:tc>
        <w:tc>
          <w:tcPr>
            <w:tcW w:w="2808" w:type="dxa"/>
          </w:tcPr>
          <w:p w14:paraId="2F71013E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Organism</w:t>
            </w:r>
          </w:p>
        </w:tc>
        <w:tc>
          <w:tcPr>
            <w:tcW w:w="1164" w:type="dxa"/>
          </w:tcPr>
          <w:p w14:paraId="1D497D78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Cultures</w:t>
            </w:r>
          </w:p>
        </w:tc>
      </w:tr>
      <w:tr w:rsidR="009133B8" w:rsidRPr="00806464" w14:paraId="4AD96CF8" w14:textId="77777777" w:rsidTr="00FF79FF">
        <w:tc>
          <w:tcPr>
            <w:tcW w:w="768" w:type="dxa"/>
          </w:tcPr>
          <w:p w14:paraId="08224595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08" w:type="dxa"/>
          </w:tcPr>
          <w:p w14:paraId="25D41FE0" w14:textId="77777777" w:rsidR="009133B8" w:rsidRPr="00806464" w:rsidRDefault="009133B8" w:rsidP="00FF79FF">
            <w:pPr>
              <w:rPr>
                <w:rFonts w:ascii="Times New Roman" w:hAnsi="Times New Roman"/>
                <w:i/>
                <w:lang w:val="en-US"/>
              </w:rPr>
            </w:pPr>
            <w:r w:rsidRPr="00806464">
              <w:rPr>
                <w:rFonts w:ascii="Times New Roman" w:hAnsi="Times New Roman"/>
                <w:i/>
                <w:lang w:val="en-US"/>
              </w:rPr>
              <w:t>Escherichia coli</w:t>
            </w:r>
          </w:p>
        </w:tc>
        <w:tc>
          <w:tcPr>
            <w:tcW w:w="1164" w:type="dxa"/>
          </w:tcPr>
          <w:p w14:paraId="55D7976F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38 (53%)</w:t>
            </w:r>
          </w:p>
        </w:tc>
      </w:tr>
      <w:tr w:rsidR="009133B8" w:rsidRPr="00806464" w14:paraId="20EB2E5E" w14:textId="77777777" w:rsidTr="00FF79FF">
        <w:tc>
          <w:tcPr>
            <w:tcW w:w="768" w:type="dxa"/>
          </w:tcPr>
          <w:p w14:paraId="1236324D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08" w:type="dxa"/>
          </w:tcPr>
          <w:p w14:paraId="44345D09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i/>
                <w:lang w:val="en-US"/>
              </w:rPr>
              <w:t>Enterococcus</w:t>
            </w:r>
            <w:r w:rsidRPr="00806464">
              <w:rPr>
                <w:rFonts w:ascii="Times New Roman" w:hAnsi="Times New Roman"/>
                <w:lang w:val="en-US"/>
              </w:rPr>
              <w:t xml:space="preserve"> species</w:t>
            </w:r>
          </w:p>
        </w:tc>
        <w:tc>
          <w:tcPr>
            <w:tcW w:w="1164" w:type="dxa"/>
          </w:tcPr>
          <w:p w14:paraId="27E1EA6D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18 (25%)</w:t>
            </w:r>
          </w:p>
        </w:tc>
      </w:tr>
      <w:tr w:rsidR="009133B8" w:rsidRPr="00806464" w14:paraId="77793D01" w14:textId="77777777" w:rsidTr="00FF79FF">
        <w:tc>
          <w:tcPr>
            <w:tcW w:w="768" w:type="dxa"/>
          </w:tcPr>
          <w:p w14:paraId="795E8CA9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08" w:type="dxa"/>
          </w:tcPr>
          <w:p w14:paraId="3B47184B" w14:textId="77777777" w:rsidR="009133B8" w:rsidRPr="00806464" w:rsidRDefault="009133B8" w:rsidP="00FF79FF">
            <w:pPr>
              <w:rPr>
                <w:rFonts w:ascii="Times New Roman" w:hAnsi="Times New Roman"/>
                <w:i/>
                <w:lang w:val="en-US"/>
              </w:rPr>
            </w:pPr>
            <w:r w:rsidRPr="00806464">
              <w:rPr>
                <w:rFonts w:ascii="Times New Roman" w:hAnsi="Times New Roman"/>
                <w:i/>
                <w:lang w:val="en-US"/>
              </w:rPr>
              <w:t>Klebsiella pneumoniae</w:t>
            </w:r>
          </w:p>
        </w:tc>
        <w:tc>
          <w:tcPr>
            <w:tcW w:w="1164" w:type="dxa"/>
          </w:tcPr>
          <w:p w14:paraId="317BDA7A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14 (19%)</w:t>
            </w:r>
          </w:p>
        </w:tc>
      </w:tr>
      <w:tr w:rsidR="009133B8" w:rsidRPr="00806464" w14:paraId="5B01038B" w14:textId="77777777" w:rsidTr="00FF79FF">
        <w:tc>
          <w:tcPr>
            <w:tcW w:w="768" w:type="dxa"/>
          </w:tcPr>
          <w:p w14:paraId="01264288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08" w:type="dxa"/>
          </w:tcPr>
          <w:p w14:paraId="33D315ED" w14:textId="77777777" w:rsidR="009133B8" w:rsidRPr="00806464" w:rsidRDefault="009133B8" w:rsidP="00FF79FF">
            <w:pPr>
              <w:rPr>
                <w:rFonts w:ascii="Times New Roman" w:hAnsi="Times New Roman"/>
                <w:i/>
                <w:lang w:val="en-US"/>
              </w:rPr>
            </w:pPr>
            <w:r w:rsidRPr="00806464">
              <w:rPr>
                <w:rFonts w:ascii="Times New Roman" w:hAnsi="Times New Roman"/>
                <w:i/>
                <w:lang w:val="en-US"/>
              </w:rPr>
              <w:t>Pseudomonas aeruginosa</w:t>
            </w:r>
          </w:p>
        </w:tc>
        <w:tc>
          <w:tcPr>
            <w:tcW w:w="1164" w:type="dxa"/>
          </w:tcPr>
          <w:p w14:paraId="43FCF99E" w14:textId="77777777" w:rsidR="009133B8" w:rsidRPr="00806464" w:rsidRDefault="009133B8" w:rsidP="00FF79FF">
            <w:pPr>
              <w:rPr>
                <w:rFonts w:ascii="Times New Roman" w:hAnsi="Times New Roman"/>
                <w:lang w:val="en-US"/>
              </w:rPr>
            </w:pPr>
            <w:r w:rsidRPr="00806464">
              <w:rPr>
                <w:rFonts w:ascii="Times New Roman" w:hAnsi="Times New Roman"/>
                <w:lang w:val="en-US"/>
              </w:rPr>
              <w:t>7 (10%)</w:t>
            </w:r>
          </w:p>
        </w:tc>
      </w:tr>
    </w:tbl>
    <w:p w14:paraId="16E8CE37" w14:textId="5B42F51E" w:rsidR="00FF79FF" w:rsidRPr="00FF79FF" w:rsidRDefault="00FF79FF" w:rsidP="009133B8">
      <w:pPr>
        <w:jc w:val="both"/>
        <w:rPr>
          <w:rFonts w:ascii="Times New Roman" w:hAnsi="Times New Roman"/>
          <w:b/>
          <w:bCs/>
          <w:iCs/>
          <w:lang w:val="en-US"/>
        </w:rPr>
      </w:pPr>
      <w:r>
        <w:rPr>
          <w:rFonts w:ascii="Times New Roman" w:hAnsi="Times New Roman"/>
          <w:b/>
          <w:bCs/>
          <w:iCs/>
          <w:lang w:val="en-US"/>
        </w:rPr>
        <w:t>ONLINE SUPPLEMENTARY MATERIAL</w:t>
      </w:r>
    </w:p>
    <w:p w14:paraId="7826F71D" w14:textId="09E30428" w:rsidR="00FF79FF" w:rsidRDefault="00FF79FF" w:rsidP="009133B8">
      <w:pPr>
        <w:jc w:val="both"/>
        <w:rPr>
          <w:rFonts w:ascii="Times New Roman" w:hAnsi="Times New Roman"/>
          <w:i/>
          <w:u w:val="single"/>
          <w:lang w:val="en-US"/>
        </w:rPr>
      </w:pPr>
    </w:p>
    <w:p w14:paraId="6523264E" w14:textId="10816BE2" w:rsidR="00FF79FF" w:rsidRDefault="00FF79FF" w:rsidP="009133B8">
      <w:pPr>
        <w:jc w:val="both"/>
        <w:rPr>
          <w:rFonts w:ascii="Times New Roman" w:hAnsi="Times New Roman"/>
          <w:i/>
          <w:u w:val="single"/>
          <w:lang w:val="en-US"/>
        </w:rPr>
      </w:pPr>
    </w:p>
    <w:p w14:paraId="50148602" w14:textId="3E65CA73" w:rsidR="00FF79FF" w:rsidRDefault="00FF79FF" w:rsidP="009133B8">
      <w:pPr>
        <w:jc w:val="both"/>
        <w:rPr>
          <w:rFonts w:ascii="Times New Roman" w:hAnsi="Times New Roman"/>
          <w:i/>
          <w:u w:val="single"/>
          <w:lang w:val="en-US"/>
        </w:rPr>
      </w:pPr>
    </w:p>
    <w:p w14:paraId="621481CE" w14:textId="47C4A87B" w:rsidR="00FF79FF" w:rsidRDefault="00FF79FF" w:rsidP="009133B8">
      <w:pPr>
        <w:jc w:val="both"/>
        <w:rPr>
          <w:rFonts w:ascii="Times New Roman" w:hAnsi="Times New Roman"/>
          <w:i/>
          <w:u w:val="single"/>
          <w:lang w:val="en-US"/>
        </w:rPr>
      </w:pPr>
    </w:p>
    <w:p w14:paraId="5E805F0F" w14:textId="77777777" w:rsidR="00FF79FF" w:rsidRDefault="00FF79FF" w:rsidP="009133B8">
      <w:pPr>
        <w:jc w:val="both"/>
        <w:rPr>
          <w:rFonts w:ascii="Times New Roman" w:hAnsi="Times New Roman"/>
          <w:i/>
          <w:u w:val="single"/>
          <w:lang w:val="en-US"/>
        </w:rPr>
      </w:pPr>
    </w:p>
    <w:p w14:paraId="1B517156" w14:textId="1E75A704" w:rsidR="00FF79FF" w:rsidRDefault="00FF79FF" w:rsidP="009133B8">
      <w:pPr>
        <w:jc w:val="both"/>
        <w:rPr>
          <w:rFonts w:ascii="Times New Roman" w:hAnsi="Times New Roman"/>
          <w:i/>
          <w:u w:val="single"/>
          <w:lang w:val="en-US"/>
        </w:rPr>
      </w:pPr>
    </w:p>
    <w:p w14:paraId="229515D4" w14:textId="77777777" w:rsidR="00FF79FF" w:rsidRDefault="00FF79FF" w:rsidP="009133B8">
      <w:pPr>
        <w:jc w:val="both"/>
        <w:rPr>
          <w:rFonts w:ascii="Times New Roman" w:hAnsi="Times New Roman"/>
          <w:i/>
          <w:u w:val="single"/>
          <w:lang w:val="en-US"/>
        </w:rPr>
      </w:pPr>
    </w:p>
    <w:p w14:paraId="50F1C542" w14:textId="0E6BB381" w:rsidR="009133B8" w:rsidRPr="00806464" w:rsidRDefault="00641B4F" w:rsidP="009133B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>Online Suppl</w:t>
      </w:r>
      <w:r w:rsidR="00FF79FF">
        <w:rPr>
          <w:rFonts w:ascii="Times New Roman" w:hAnsi="Times New Roman"/>
          <w:i/>
          <w:u w:val="single"/>
          <w:lang w:val="en-US"/>
        </w:rPr>
        <w:t xml:space="preserve">. </w:t>
      </w:r>
      <w:r w:rsidR="009133B8" w:rsidRPr="00806464">
        <w:rPr>
          <w:rFonts w:ascii="Times New Roman" w:hAnsi="Times New Roman"/>
          <w:i/>
          <w:u w:val="single"/>
          <w:lang w:val="en-US"/>
        </w:rPr>
        <w:t xml:space="preserve">Table </w:t>
      </w:r>
      <w:r>
        <w:rPr>
          <w:rFonts w:ascii="Times New Roman" w:hAnsi="Times New Roman"/>
          <w:i/>
          <w:u w:val="single"/>
          <w:lang w:val="en-US"/>
        </w:rPr>
        <w:t>1</w:t>
      </w:r>
      <w:r w:rsidR="009133B8" w:rsidRPr="00806464">
        <w:rPr>
          <w:rFonts w:ascii="Times New Roman" w:hAnsi="Times New Roman"/>
          <w:i/>
          <w:u w:val="single"/>
          <w:lang w:val="en-US"/>
        </w:rPr>
        <w:t>.</w:t>
      </w:r>
      <w:r w:rsidR="00FF79FF">
        <w:rPr>
          <w:rFonts w:ascii="Times New Roman" w:hAnsi="Times New Roman"/>
          <w:lang w:val="en-US"/>
        </w:rPr>
        <w:t xml:space="preserve"> </w:t>
      </w:r>
      <w:r w:rsidR="009133B8" w:rsidRPr="00806464">
        <w:rPr>
          <w:rFonts w:ascii="Times New Roman" w:hAnsi="Times New Roman"/>
          <w:lang w:val="en-US"/>
        </w:rPr>
        <w:t>Most common organisms in 72 available urine cultures after electrofulguration.</w:t>
      </w:r>
    </w:p>
    <w:p w14:paraId="77A6F613" w14:textId="77777777" w:rsidR="009133B8" w:rsidRPr="00806464" w:rsidRDefault="009133B8" w:rsidP="009133B8">
      <w:pPr>
        <w:rPr>
          <w:rFonts w:ascii="Times New Roman" w:hAnsi="Times New Roman"/>
          <w:lang w:val="en-US"/>
        </w:rPr>
      </w:pPr>
    </w:p>
    <w:p w14:paraId="5B3B2C8A" w14:textId="77777777" w:rsidR="009133B8" w:rsidRPr="00806464" w:rsidRDefault="009133B8" w:rsidP="009133B8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8827" w:type="dxa"/>
        <w:tblLook w:val="04A0" w:firstRow="1" w:lastRow="0" w:firstColumn="1" w:lastColumn="0" w:noHBand="0" w:noVBand="1"/>
      </w:tblPr>
      <w:tblGrid>
        <w:gridCol w:w="2515"/>
        <w:gridCol w:w="1027"/>
        <w:gridCol w:w="1527"/>
        <w:gridCol w:w="1025"/>
        <w:gridCol w:w="1692"/>
        <w:gridCol w:w="1041"/>
      </w:tblGrid>
      <w:tr w:rsidR="009133B8" w:rsidRPr="00806464" w14:paraId="47BA2A1E" w14:textId="77777777" w:rsidTr="001C2858">
        <w:tc>
          <w:tcPr>
            <w:tcW w:w="3542" w:type="dxa"/>
            <w:gridSpan w:val="2"/>
            <w:vAlign w:val="center"/>
          </w:tcPr>
          <w:p w14:paraId="08288ADE" w14:textId="77777777" w:rsidR="009133B8" w:rsidRPr="00806464" w:rsidRDefault="009133B8" w:rsidP="001C28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Pre-electrofulguration</w:t>
            </w:r>
          </w:p>
        </w:tc>
        <w:tc>
          <w:tcPr>
            <w:tcW w:w="2552" w:type="dxa"/>
            <w:gridSpan w:val="2"/>
            <w:vAlign w:val="center"/>
          </w:tcPr>
          <w:p w14:paraId="16642D3C" w14:textId="77777777" w:rsidR="009133B8" w:rsidRPr="00806464" w:rsidRDefault="009133B8" w:rsidP="001C28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Intra-electrofulguration</w:t>
            </w:r>
          </w:p>
        </w:tc>
        <w:tc>
          <w:tcPr>
            <w:tcW w:w="2733" w:type="dxa"/>
            <w:gridSpan w:val="2"/>
            <w:vAlign w:val="center"/>
          </w:tcPr>
          <w:p w14:paraId="1C280E52" w14:textId="77777777" w:rsidR="009133B8" w:rsidRPr="00806464" w:rsidRDefault="009133B8" w:rsidP="001C28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Post-electrofulguration</w:t>
            </w:r>
          </w:p>
        </w:tc>
      </w:tr>
      <w:tr w:rsidR="009133B8" w:rsidRPr="00806464" w14:paraId="1BD2C388" w14:textId="77777777" w:rsidTr="001C2858">
        <w:tc>
          <w:tcPr>
            <w:tcW w:w="2515" w:type="dxa"/>
            <w:vAlign w:val="center"/>
          </w:tcPr>
          <w:p w14:paraId="4BEEA1EE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Ciprofloxacin</w:t>
            </w:r>
          </w:p>
        </w:tc>
        <w:tc>
          <w:tcPr>
            <w:tcW w:w="1027" w:type="dxa"/>
            <w:vAlign w:val="center"/>
          </w:tcPr>
          <w:p w14:paraId="1CC709EB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3 (17%)</w:t>
            </w:r>
          </w:p>
        </w:tc>
        <w:tc>
          <w:tcPr>
            <w:tcW w:w="1527" w:type="dxa"/>
            <w:vAlign w:val="center"/>
          </w:tcPr>
          <w:p w14:paraId="1AD449C6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Cefazolin</w:t>
            </w:r>
          </w:p>
        </w:tc>
        <w:tc>
          <w:tcPr>
            <w:tcW w:w="1025" w:type="dxa"/>
            <w:vAlign w:val="center"/>
          </w:tcPr>
          <w:p w14:paraId="5D1EFCC1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6 (33%)</w:t>
            </w:r>
          </w:p>
        </w:tc>
        <w:tc>
          <w:tcPr>
            <w:tcW w:w="1692" w:type="dxa"/>
            <w:vAlign w:val="center"/>
          </w:tcPr>
          <w:p w14:paraId="08D3716D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Nitrofurantoin</w:t>
            </w:r>
          </w:p>
        </w:tc>
        <w:tc>
          <w:tcPr>
            <w:tcW w:w="1041" w:type="dxa"/>
            <w:vAlign w:val="center"/>
          </w:tcPr>
          <w:p w14:paraId="32B318FF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9 (50%)</w:t>
            </w:r>
          </w:p>
        </w:tc>
      </w:tr>
      <w:tr w:rsidR="009133B8" w:rsidRPr="00806464" w14:paraId="3F9ECD67" w14:textId="77777777" w:rsidTr="001C2858">
        <w:tc>
          <w:tcPr>
            <w:tcW w:w="2515" w:type="dxa"/>
            <w:vAlign w:val="center"/>
          </w:tcPr>
          <w:p w14:paraId="7FA40A86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Nitrofurantoin</w:t>
            </w:r>
          </w:p>
        </w:tc>
        <w:tc>
          <w:tcPr>
            <w:tcW w:w="1027" w:type="dxa"/>
            <w:vAlign w:val="center"/>
          </w:tcPr>
          <w:p w14:paraId="5334B9E1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3 (17%)</w:t>
            </w:r>
          </w:p>
        </w:tc>
        <w:tc>
          <w:tcPr>
            <w:tcW w:w="1527" w:type="dxa"/>
            <w:vAlign w:val="center"/>
          </w:tcPr>
          <w:p w14:paraId="28CBC8AD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Cefazolin</w:t>
            </w:r>
          </w:p>
          <w:p w14:paraId="2CDE69D1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+gentamicin</w:t>
            </w:r>
          </w:p>
        </w:tc>
        <w:tc>
          <w:tcPr>
            <w:tcW w:w="1025" w:type="dxa"/>
            <w:vAlign w:val="center"/>
          </w:tcPr>
          <w:p w14:paraId="6B8E5003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4 (22%)</w:t>
            </w:r>
          </w:p>
        </w:tc>
        <w:tc>
          <w:tcPr>
            <w:tcW w:w="1692" w:type="dxa"/>
            <w:vAlign w:val="center"/>
          </w:tcPr>
          <w:p w14:paraId="4DA0822B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TMP-SMX</w:t>
            </w:r>
          </w:p>
        </w:tc>
        <w:tc>
          <w:tcPr>
            <w:tcW w:w="1041" w:type="dxa"/>
            <w:vAlign w:val="center"/>
          </w:tcPr>
          <w:p w14:paraId="21AE87DC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4 (22%)</w:t>
            </w:r>
          </w:p>
        </w:tc>
      </w:tr>
      <w:tr w:rsidR="009133B8" w:rsidRPr="00806464" w14:paraId="190DDD0B" w14:textId="77777777" w:rsidTr="001C2858">
        <w:tc>
          <w:tcPr>
            <w:tcW w:w="2515" w:type="dxa"/>
            <w:vAlign w:val="center"/>
          </w:tcPr>
          <w:p w14:paraId="4A3AB106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Levofloxacin</w:t>
            </w:r>
          </w:p>
        </w:tc>
        <w:tc>
          <w:tcPr>
            <w:tcW w:w="1027" w:type="dxa"/>
            <w:vAlign w:val="center"/>
          </w:tcPr>
          <w:p w14:paraId="48A60D65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2 (11%)</w:t>
            </w:r>
          </w:p>
        </w:tc>
        <w:tc>
          <w:tcPr>
            <w:tcW w:w="1527" w:type="dxa"/>
            <w:vAlign w:val="center"/>
          </w:tcPr>
          <w:p w14:paraId="255CA9D8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Gentamicin</w:t>
            </w:r>
          </w:p>
        </w:tc>
        <w:tc>
          <w:tcPr>
            <w:tcW w:w="1025" w:type="dxa"/>
            <w:vAlign w:val="center"/>
          </w:tcPr>
          <w:p w14:paraId="6EEC8840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3 (17%)</w:t>
            </w:r>
          </w:p>
        </w:tc>
        <w:tc>
          <w:tcPr>
            <w:tcW w:w="1692" w:type="dxa"/>
            <w:vAlign w:val="center"/>
          </w:tcPr>
          <w:p w14:paraId="0333F5B7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Ciprofloxacin</w:t>
            </w:r>
          </w:p>
        </w:tc>
        <w:tc>
          <w:tcPr>
            <w:tcW w:w="1041" w:type="dxa"/>
            <w:vAlign w:val="center"/>
          </w:tcPr>
          <w:p w14:paraId="7B6627B2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3 (17%)</w:t>
            </w:r>
          </w:p>
        </w:tc>
      </w:tr>
      <w:tr w:rsidR="009133B8" w:rsidRPr="00806464" w14:paraId="3719229C" w14:textId="77777777" w:rsidTr="001C2858">
        <w:tc>
          <w:tcPr>
            <w:tcW w:w="2515" w:type="dxa"/>
            <w:vAlign w:val="center"/>
          </w:tcPr>
          <w:p w14:paraId="43E59F7A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Amoxicillin-clavulanate</w:t>
            </w:r>
          </w:p>
          <w:p w14:paraId="5B23D2CD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+nitrofurantoin</w:t>
            </w:r>
          </w:p>
        </w:tc>
        <w:tc>
          <w:tcPr>
            <w:tcW w:w="1027" w:type="dxa"/>
            <w:vAlign w:val="center"/>
          </w:tcPr>
          <w:p w14:paraId="085AE741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1527" w:type="dxa"/>
            <w:vAlign w:val="center"/>
          </w:tcPr>
          <w:p w14:paraId="226667DB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Ampicillin</w:t>
            </w:r>
          </w:p>
          <w:p w14:paraId="4DAAFBB9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+gentamicin</w:t>
            </w:r>
          </w:p>
        </w:tc>
        <w:tc>
          <w:tcPr>
            <w:tcW w:w="1025" w:type="dxa"/>
            <w:vAlign w:val="center"/>
          </w:tcPr>
          <w:p w14:paraId="3387C6C5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1692" w:type="dxa"/>
            <w:vAlign w:val="center"/>
          </w:tcPr>
          <w:p w14:paraId="7AE12FE1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Levofloxacin</w:t>
            </w:r>
          </w:p>
        </w:tc>
        <w:tc>
          <w:tcPr>
            <w:tcW w:w="1041" w:type="dxa"/>
            <w:vAlign w:val="center"/>
          </w:tcPr>
          <w:p w14:paraId="2BF6D369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2 (11%)</w:t>
            </w:r>
          </w:p>
        </w:tc>
      </w:tr>
      <w:tr w:rsidR="009133B8" w:rsidRPr="00806464" w14:paraId="183EC613" w14:textId="77777777" w:rsidTr="001C2858">
        <w:tc>
          <w:tcPr>
            <w:tcW w:w="2515" w:type="dxa"/>
            <w:vAlign w:val="center"/>
          </w:tcPr>
          <w:p w14:paraId="5A518EBD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Levofloxacin</w:t>
            </w:r>
          </w:p>
          <w:p w14:paraId="05DDE139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+TMP-SMX</w:t>
            </w:r>
          </w:p>
        </w:tc>
        <w:tc>
          <w:tcPr>
            <w:tcW w:w="1027" w:type="dxa"/>
            <w:vAlign w:val="center"/>
          </w:tcPr>
          <w:p w14:paraId="2C160526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1527" w:type="dxa"/>
            <w:vAlign w:val="center"/>
          </w:tcPr>
          <w:p w14:paraId="63D05A8B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Ciprofloxacin</w:t>
            </w:r>
          </w:p>
          <w:p w14:paraId="4B2E7B3C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+gentamicin</w:t>
            </w:r>
          </w:p>
        </w:tc>
        <w:tc>
          <w:tcPr>
            <w:tcW w:w="1025" w:type="dxa"/>
            <w:vAlign w:val="center"/>
          </w:tcPr>
          <w:p w14:paraId="513A867C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2733" w:type="dxa"/>
            <w:gridSpan w:val="2"/>
            <w:vMerge w:val="restart"/>
            <w:vAlign w:val="center"/>
          </w:tcPr>
          <w:p w14:paraId="4D462D25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9133B8" w:rsidRPr="00806464" w14:paraId="5E2C4150" w14:textId="77777777" w:rsidTr="001C2858">
        <w:tc>
          <w:tcPr>
            <w:tcW w:w="2515" w:type="dxa"/>
            <w:vAlign w:val="center"/>
          </w:tcPr>
          <w:p w14:paraId="3B419461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TMP-SMX</w:t>
            </w:r>
          </w:p>
        </w:tc>
        <w:tc>
          <w:tcPr>
            <w:tcW w:w="1027" w:type="dxa"/>
            <w:vAlign w:val="center"/>
          </w:tcPr>
          <w:p w14:paraId="5DE62008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1527" w:type="dxa"/>
            <w:vAlign w:val="center"/>
          </w:tcPr>
          <w:p w14:paraId="6067C818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Clindamycin</w:t>
            </w:r>
          </w:p>
          <w:p w14:paraId="08741DDC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+gentamicin</w:t>
            </w:r>
          </w:p>
        </w:tc>
        <w:tc>
          <w:tcPr>
            <w:tcW w:w="1025" w:type="dxa"/>
            <w:vAlign w:val="center"/>
          </w:tcPr>
          <w:p w14:paraId="69AA2BEE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2733" w:type="dxa"/>
            <w:gridSpan w:val="2"/>
            <w:vMerge/>
            <w:vAlign w:val="center"/>
          </w:tcPr>
          <w:p w14:paraId="40642D57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9133B8" w:rsidRPr="00806464" w14:paraId="443618B4" w14:textId="77777777" w:rsidTr="001C2858">
        <w:tc>
          <w:tcPr>
            <w:tcW w:w="2515" w:type="dxa"/>
            <w:vAlign w:val="center"/>
          </w:tcPr>
          <w:p w14:paraId="62D28AAE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None or</w:t>
            </w:r>
          </w:p>
          <w:p w14:paraId="421F0F46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data not available</w:t>
            </w:r>
          </w:p>
        </w:tc>
        <w:tc>
          <w:tcPr>
            <w:tcW w:w="1027" w:type="dxa"/>
            <w:vAlign w:val="center"/>
          </w:tcPr>
          <w:p w14:paraId="3C99D702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7 (39%)</w:t>
            </w:r>
          </w:p>
        </w:tc>
        <w:tc>
          <w:tcPr>
            <w:tcW w:w="1527" w:type="dxa"/>
            <w:vAlign w:val="center"/>
          </w:tcPr>
          <w:p w14:paraId="74DA34C0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Meropenem</w:t>
            </w:r>
          </w:p>
        </w:tc>
        <w:tc>
          <w:tcPr>
            <w:tcW w:w="1025" w:type="dxa"/>
            <w:vAlign w:val="center"/>
          </w:tcPr>
          <w:p w14:paraId="72269F76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2733" w:type="dxa"/>
            <w:gridSpan w:val="2"/>
            <w:vMerge/>
            <w:vAlign w:val="center"/>
          </w:tcPr>
          <w:p w14:paraId="4EC0597E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9133B8" w:rsidRPr="00806464" w14:paraId="6A76DC3F" w14:textId="77777777" w:rsidTr="001C2858">
        <w:tc>
          <w:tcPr>
            <w:tcW w:w="3542" w:type="dxa"/>
            <w:gridSpan w:val="2"/>
            <w:vAlign w:val="center"/>
          </w:tcPr>
          <w:p w14:paraId="6A5E9ABD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27" w:type="dxa"/>
            <w:vAlign w:val="center"/>
          </w:tcPr>
          <w:p w14:paraId="4A632D56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Vancomycin</w:t>
            </w:r>
          </w:p>
        </w:tc>
        <w:tc>
          <w:tcPr>
            <w:tcW w:w="1025" w:type="dxa"/>
            <w:vAlign w:val="center"/>
          </w:tcPr>
          <w:p w14:paraId="59CF0C90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6464">
              <w:rPr>
                <w:rFonts w:ascii="Times New Roman" w:hAnsi="Times New Roman"/>
                <w:sz w:val="22"/>
                <w:szCs w:val="22"/>
                <w:lang w:val="en-US"/>
              </w:rPr>
              <w:t>1 (6%)</w:t>
            </w:r>
          </w:p>
        </w:tc>
        <w:tc>
          <w:tcPr>
            <w:tcW w:w="2733" w:type="dxa"/>
            <w:gridSpan w:val="2"/>
            <w:vMerge/>
            <w:vAlign w:val="center"/>
          </w:tcPr>
          <w:p w14:paraId="7721E5B9" w14:textId="77777777" w:rsidR="009133B8" w:rsidRPr="00806464" w:rsidRDefault="009133B8" w:rsidP="001C28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6CEC4868" w14:textId="238842CB" w:rsidR="009133B8" w:rsidRPr="00806464" w:rsidRDefault="00641B4F" w:rsidP="009133B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 xml:space="preserve">Online Suppl. </w:t>
      </w:r>
      <w:r w:rsidR="009133B8" w:rsidRPr="00806464">
        <w:rPr>
          <w:rFonts w:ascii="Times New Roman" w:hAnsi="Times New Roman"/>
          <w:i/>
          <w:u w:val="single"/>
          <w:lang w:val="en-US"/>
        </w:rPr>
        <w:t xml:space="preserve">Table </w:t>
      </w:r>
      <w:r>
        <w:rPr>
          <w:rFonts w:ascii="Times New Roman" w:hAnsi="Times New Roman"/>
          <w:i/>
          <w:u w:val="single"/>
          <w:lang w:val="en-US"/>
        </w:rPr>
        <w:t>2</w:t>
      </w:r>
      <w:r w:rsidR="009133B8" w:rsidRPr="00806464">
        <w:rPr>
          <w:rFonts w:ascii="Times New Roman" w:hAnsi="Times New Roman"/>
          <w:i/>
          <w:u w:val="single"/>
          <w:lang w:val="en-US"/>
        </w:rPr>
        <w:t>.</w:t>
      </w:r>
      <w:r w:rsidR="009133B8" w:rsidRPr="00806464">
        <w:rPr>
          <w:rFonts w:ascii="Times New Roman" w:hAnsi="Times New Roman"/>
          <w:lang w:val="en-US"/>
        </w:rPr>
        <w:t xml:space="preserve"> Antibiotics administered before, during, and immediately after electrofulguration procedures for the 18 women in this series. </w:t>
      </w:r>
      <w:r w:rsidR="009133B8">
        <w:rPr>
          <w:rFonts w:ascii="Times New Roman" w:hAnsi="Times New Roman"/>
          <w:lang w:val="en-US"/>
        </w:rPr>
        <w:t>TMP-SMX: trimethoprim-sulfamethoxazole.</w:t>
      </w:r>
    </w:p>
    <w:p w14:paraId="5BABD4DB" w14:textId="77777777" w:rsidR="00B31D4D" w:rsidRDefault="00B31D4D"/>
    <w:sectPr w:rsidR="00B31D4D" w:rsidSect="009133B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0A0E" w14:textId="77777777" w:rsidR="000F241A" w:rsidRDefault="000F241A" w:rsidP="00FF79FF">
      <w:r>
        <w:separator/>
      </w:r>
    </w:p>
  </w:endnote>
  <w:endnote w:type="continuationSeparator" w:id="0">
    <w:p w14:paraId="431D4C77" w14:textId="77777777" w:rsidR="000F241A" w:rsidRDefault="000F241A" w:rsidP="00FF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B0B9" w14:textId="77777777" w:rsidR="00E40245" w:rsidRDefault="000F241A" w:rsidP="00A26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27542" w14:textId="77777777" w:rsidR="00E40245" w:rsidRDefault="000F241A" w:rsidP="00A26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316A" w14:textId="77777777" w:rsidR="00E40245" w:rsidRPr="00260B98" w:rsidRDefault="000F241A" w:rsidP="00A26946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260B98">
      <w:rPr>
        <w:rStyle w:val="PageNumber"/>
        <w:rFonts w:ascii="Times New Roman" w:hAnsi="Times New Roman"/>
      </w:rPr>
      <w:fldChar w:fldCharType="begin"/>
    </w:r>
    <w:r w:rsidRPr="00260B98">
      <w:rPr>
        <w:rStyle w:val="PageNumber"/>
        <w:rFonts w:ascii="Times New Roman" w:hAnsi="Times New Roman"/>
      </w:rPr>
      <w:instrText xml:space="preserve">PAGE  </w:instrText>
    </w:r>
    <w:r w:rsidRPr="00260B98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13</w:t>
    </w:r>
    <w:r w:rsidRPr="00260B98">
      <w:rPr>
        <w:rStyle w:val="PageNumber"/>
        <w:rFonts w:ascii="Times New Roman" w:hAnsi="Times New Roman"/>
      </w:rPr>
      <w:fldChar w:fldCharType="end"/>
    </w:r>
  </w:p>
  <w:p w14:paraId="5D858586" w14:textId="77777777" w:rsidR="00E40245" w:rsidRPr="00260B98" w:rsidRDefault="000F241A" w:rsidP="00A26946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D018" w14:textId="77777777" w:rsidR="000F241A" w:rsidRDefault="000F241A" w:rsidP="00FF79FF">
      <w:r>
        <w:separator/>
      </w:r>
    </w:p>
  </w:footnote>
  <w:footnote w:type="continuationSeparator" w:id="0">
    <w:p w14:paraId="18069C48" w14:textId="77777777" w:rsidR="000F241A" w:rsidRDefault="000F241A" w:rsidP="00FF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71"/>
    <w:rsid w:val="000F241A"/>
    <w:rsid w:val="00351CF9"/>
    <w:rsid w:val="00641B4F"/>
    <w:rsid w:val="009133B8"/>
    <w:rsid w:val="00A73271"/>
    <w:rsid w:val="00B31D4D"/>
    <w:rsid w:val="00D4312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FE8D0"/>
  <w15:chartTrackingRefBased/>
  <w15:docId w15:val="{1DAD2099-CCA0-0F4A-A6EA-5E0CE4D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B8"/>
    <w:rPr>
      <w:rFonts w:ascii="Cambria" w:eastAsia="Cambria" w:hAnsi="Cambri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B8"/>
    <w:rPr>
      <w:rFonts w:ascii="Cambria" w:eastAsia="Cambria" w:hAnsi="Cambria" w:cs="Times New Roman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133B8"/>
  </w:style>
  <w:style w:type="table" w:styleId="TableGrid">
    <w:name w:val="Table Grid"/>
    <w:basedOn w:val="TableNormal"/>
    <w:uiPriority w:val="59"/>
    <w:rsid w:val="009133B8"/>
    <w:rPr>
      <w:rFonts w:eastAsiaTheme="minorEastAsi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133B8"/>
  </w:style>
  <w:style w:type="paragraph" w:styleId="Header">
    <w:name w:val="header"/>
    <w:basedOn w:val="Normal"/>
    <w:link w:val="HeaderChar"/>
    <w:uiPriority w:val="99"/>
    <w:unhideWhenUsed/>
    <w:rsid w:val="00FF7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FF"/>
    <w:rPr>
      <w:rFonts w:ascii="Cambria" w:eastAsia="Cambria" w:hAnsi="Cambria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Crivelli</dc:creator>
  <cp:keywords/>
  <dc:description/>
  <cp:lastModifiedBy>Joe Crivelli</cp:lastModifiedBy>
  <cp:revision>4</cp:revision>
  <dcterms:created xsi:type="dcterms:W3CDTF">2020-07-06T04:29:00Z</dcterms:created>
  <dcterms:modified xsi:type="dcterms:W3CDTF">2020-07-06T04:45:00Z</dcterms:modified>
</cp:coreProperties>
</file>