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1B3A" w14:textId="769E9F97" w:rsidR="00286E7D" w:rsidRPr="008272D7" w:rsidRDefault="00286E7D" w:rsidP="00286E7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Materials and Methods</w:t>
      </w:r>
    </w:p>
    <w:p w14:paraId="0AC84289" w14:textId="3782D63B" w:rsidR="00286E7D" w:rsidRPr="008272D7" w:rsidRDefault="00286E7D" w:rsidP="00C057AA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This study was conducted at the dermatology outpatient clinic, Faculty of Medicine, Cairo University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 period between April 2018 and September 2018. The study was approved by 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547C91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Research Ethics Committee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Faculty of Medicine, Cairo University, and all participants signed informed written consents. The study included 30 patients with cutaneous LP and 30 healthy controls undergoing abdominoplasty and other minor surgeries. </w:t>
      </w:r>
    </w:p>
    <w:p w14:paraId="3FAD39AB" w14:textId="21A242A9" w:rsidR="00286E7D" w:rsidRPr="008272D7" w:rsidRDefault="00286E7D" w:rsidP="00286E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Exclusion criteria were: hepatitis C virus antibod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>y-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positive participants, receiving treatment in the past 3 months, associated concomitant skin diseases, autoimmune diseases, cancer or chronic infection, pregnancy and lactation, vitamin D supplementation, topical use of vitamin D analogues or receiving phototherapy during the past 3 months.</w:t>
      </w:r>
    </w:p>
    <w:p w14:paraId="738A1BED" w14:textId="4725823C" w:rsidR="00286E7D" w:rsidRPr="008272D7" w:rsidRDefault="00286E7D" w:rsidP="009F49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all patients, 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full history was taken including onset, course and duration of the disease, previous </w:t>
      </w:r>
      <w:proofErr w:type="gram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treatment</w:t>
      </w:r>
      <w:proofErr w:type="gram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family history. All participants were asked about the frequency and duration of sun exposure. Adequate sun exposure was considered as exposure sufficient for 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production of vitamin D requirements, defined as 5–10 min of unprotected noontime sun exposure of the arms and legs or the hands, arms and face, 2 or 3 times per week.</w:t>
      </w:r>
    </w:p>
    <w:p w14:paraId="145E45E4" w14:textId="20E736FF" w:rsidR="00286E7D" w:rsidRPr="008272D7" w:rsidRDefault="00286E7D" w:rsidP="00286E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weight and height were measured, for calculation of </w:t>
      </w:r>
      <w:r w:rsidR="00547C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body mass index: BMI</w:t>
      </w:r>
      <w:r w:rsidR="00E72C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=</w:t>
      </w:r>
      <w:r w:rsidR="00E72C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weight in </w:t>
      </w:r>
      <w:r w:rsidR="00E72C65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g</w:t>
      </w:r>
      <w:proofErr w:type="gram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/(</w:t>
      </w:r>
      <w:proofErr w:type="gram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height in m)</w:t>
      </w:r>
      <w:r w:rsidRPr="008272D7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Clinical assessment was done to determine the extent of disease using </w:t>
      </w:r>
      <w:r w:rsidR="00E72C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rule of nine, type of cutaneous LP (classic, hypertrophic, atrophic, linear, annular, palmoplantar), type of oral LP (plaque, reticular and erosive) and the anatomical sites of the lesions.</w:t>
      </w:r>
    </w:p>
    <w:p w14:paraId="7FABF9CA" w14:textId="06899D7A" w:rsidR="00286E7D" w:rsidRPr="008272D7" w:rsidRDefault="00286E7D" w:rsidP="009F49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A 4</w:t>
      </w:r>
      <w:r w:rsidR="0058165E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ml venous blood sample was taken from each participant for </w:t>
      </w:r>
      <w:r w:rsidR="0058165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assessment of serum levels of IL-17 and 25</w:t>
      </w:r>
      <w:r w:rsidR="0058165E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hydroxyvitamin D (25-OHD). Blood samples were left to clot, then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centrifuged and the separated serum was stored at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20˚C. Vitamin D status was defined as: deficient (&lt;20 ng/mL), insufficient (20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29 ng/mL)</w:t>
      </w:r>
      <w:r w:rsidR="009F49D4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sufficient (&gt;29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F49D4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ng/mL).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3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mm punch biopsy was taken from the </w:t>
      </w:r>
      <w:proofErr w:type="spell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lesional</w:t>
      </w:r>
      <w:proofErr w:type="spell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skin of each patient and normal skin of each control and frozen at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20˚C, for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assessment of tissue levels of IL-17. For local an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esthesia, xylocaine was injected around the biopsy site beforehand. </w:t>
      </w:r>
    </w:p>
    <w:p w14:paraId="039AC2E8" w14:textId="77777777" w:rsidR="00286E7D" w:rsidRPr="008272D7" w:rsidRDefault="00286E7D" w:rsidP="00286E7D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333EFF5" w14:textId="4AC27895" w:rsidR="00286E7D" w:rsidRPr="000C507D" w:rsidRDefault="00286E7D" w:rsidP="00286E7D">
      <w:pPr>
        <w:spacing w:line="48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n-GB"/>
        </w:rPr>
      </w:pPr>
      <w:r w:rsidRPr="000C507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Quantitation of IL-17 in </w:t>
      </w:r>
      <w:r w:rsidR="000C507D" w:rsidRPr="000C507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Serum </w:t>
      </w:r>
      <w:r w:rsidRPr="000C507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and </w:t>
      </w:r>
      <w:r w:rsidR="000C507D" w:rsidRPr="000C507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Tissue Homogenate Sup</w:t>
      </w:r>
      <w:r w:rsidRPr="000C507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ernatant</w:t>
      </w:r>
    </w:p>
    <w:p w14:paraId="5A897440" w14:textId="39FF894D" w:rsidR="00286E7D" w:rsidRPr="008272D7" w:rsidRDefault="00286E7D" w:rsidP="00286E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Each skin biopsy was weighed and homogenized in 300 µl phosphate buffer saline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centrifuged at 4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000 </w:t>
      </w:r>
      <w:r w:rsidRPr="000C507D">
        <w:rPr>
          <w:rFonts w:ascii="Times New Roman" w:eastAsia="Calibri" w:hAnsi="Times New Roman" w:cs="Times New Roman"/>
          <w:i/>
          <w:sz w:val="24"/>
          <w:szCs w:val="24"/>
          <w:lang w:val="en-GB"/>
        </w:rPr>
        <w:t>g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10 min, then the supernatant was used for determination of IL-17 concentrations. Serum and supernatant were used in measuring IL-17 using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human IL-17 ELISA kit provided from BMS2017/BMS2017TEN supplied from </w:t>
      </w:r>
      <w:proofErr w:type="spell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eBioscience</w:t>
      </w:r>
      <w:proofErr w:type="spell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0C507D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ffymetrix (Vienna, Austria). An anti-human IL-17A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coating antibody was adsorbed onto microwells. Human IL-17A present in the sample or standard binds to antibodies adsorbed to the microwells. A biotin-conjugated anti-human IL-17A antibody was added and b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ou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nd to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human IL-17A captured by the first antibody. Unbound biotin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conjugated anti-human IL-17A antibody was removed during a wash step. Streptavidin-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horseradish peroxidase (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HRP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added and bound to the biotin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conjugated anti-human IL-17A antibody. Unbound </w:t>
      </w:r>
      <w:r w:rsidR="000C507D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treptavidin-HRP was removed during a wash step, and substrate solution reactive with HRP was added to the wells. A colo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red product was formed in proportion to the amount of human IL-17A present in the sample or standard. The reaction was terminated by addition of acid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absorbance was measured at 450 nm. A standard curve was prepared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="000C50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human IL-17A sample concentration was determined.</w:t>
      </w:r>
    </w:p>
    <w:p w14:paraId="663DAAD1" w14:textId="7BA69FC7" w:rsidR="00286E7D" w:rsidRPr="00497376" w:rsidRDefault="00286E7D" w:rsidP="00286E7D">
      <w:pPr>
        <w:spacing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lastRenderedPageBreak/>
        <w:t xml:space="preserve">Vitamin D </w:t>
      </w:r>
      <w:r w:rsidR="00497376"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Detection </w:t>
      </w:r>
      <w:r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in </w:t>
      </w:r>
      <w:r w:rsidR="00497376"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Serum</w:t>
      </w:r>
    </w:p>
    <w:p w14:paraId="66CEFF85" w14:textId="481E7D84" w:rsidR="00286E7D" w:rsidRPr="008272D7" w:rsidRDefault="00286E7D" w:rsidP="00286E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Vitamin D was measured in sera using 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human 25-OHD ELISA kit provided by </w:t>
      </w:r>
      <w:proofErr w:type="spell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Sunredbio</w:t>
      </w:r>
      <w:proofErr w:type="spell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Shanghai, China. This ELISA kit is based on the principle of 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double antibody sandwich. 25-OHD was added to 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monoclonal antibody enzyme well which is precoated with human 25-OHD. Incubation was done; then, 25-OHD antibodies labe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>l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led with biotin were added and combined with </w:t>
      </w:r>
      <w:r w:rsidR="00497376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treptavidin-HRP to form 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immune complex; then incubation and washing were carried out again to remove the </w:t>
      </w:r>
      <w:proofErr w:type="spellStart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uncombined</w:t>
      </w:r>
      <w:proofErr w:type="spellEnd"/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enzyme. Then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chromogen solutions A and B were added, the colo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r of the liquid was changed to blue. The concentration of the human 25-OHD in the sample was positively correlated. The vitamin D concentrations in sera were determined from the standard curve.</w:t>
      </w:r>
    </w:p>
    <w:p w14:paraId="2E2D8B3A" w14:textId="35BA01AD" w:rsidR="00286E7D" w:rsidRPr="00497376" w:rsidRDefault="00286E7D" w:rsidP="00286E7D">
      <w:pPr>
        <w:spacing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Statistical </w:t>
      </w:r>
      <w:r w:rsidR="00497376" w:rsidRPr="004973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Methods</w:t>
      </w:r>
    </w:p>
    <w:p w14:paraId="2442F7DB" w14:textId="66CC281F" w:rsidR="00286E7D" w:rsidRPr="008272D7" w:rsidRDefault="00286E7D" w:rsidP="00286E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Data were statistically described in terms of mean</w:t>
      </w:r>
      <w:r w:rsidR="004973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 </w:t>
      </w:r>
      <w:r w:rsidRPr="008272D7">
        <w:rPr>
          <w:rFonts w:ascii="Times New Roman" w:eastAsia="Calibri" w:hAnsi="Times New Roman" w:cs="Times New Roman"/>
          <w:lang w:val="en-GB"/>
        </w:rPr>
        <w:t>±</w:t>
      </w:r>
      <w:r w:rsidR="00497376">
        <w:rPr>
          <w:rFonts w:ascii="Times New Roman" w:eastAsia="Calibri" w:hAnsi="Times New Roman" w:cs="Times New Roman"/>
          <w:lang w:val="en-GB"/>
        </w:rPr>
        <w:t xml:space="preserve">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standard deviation, median and range, or frequencies (number of cases) and percentages when appropriate. Comparison of numerical variables between the study groups was done using Student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>’s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3184">
        <w:rPr>
          <w:rFonts w:ascii="Times New Roman" w:eastAsia="Calibri" w:hAnsi="Times New Roman" w:cs="Times New Roman"/>
          <w:i/>
          <w:sz w:val="24"/>
          <w:szCs w:val="24"/>
          <w:lang w:val="en-GB"/>
        </w:rPr>
        <w:t>t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independent samples in comparing normally distributed data and 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Mann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Whitney U test for independent samples for comparing no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-normal data. For comparing categorical data, 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sym w:font="Symbol" w:char="F063"/>
      </w:r>
      <w:r w:rsidRPr="008272D7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was performed. </w:t>
      </w:r>
      <w:r w:rsidR="000A31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Fisher’s </w:t>
      </w:r>
      <w:r w:rsidR="000A3184"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xact test was used instead when the expected frequency 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was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less than 5. Correlation between various variables was done using Pearson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’s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moment correlation equation for linear relation of normally distributed variables and Spearman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’s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rank correlation equation for non-normal variables/non-linear monotonic relation. Accuracy was represented using the terms sensitivity and specificity. Receiver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operat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ing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characteristic analysis was used to determine the optimum cut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off value for the studied diagnostic markers. </w:t>
      </w:r>
      <w:r w:rsidR="00DB1611" w:rsidRPr="00DB1611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values less than 0.05 were considered 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statistically significant. All statistical calculations were done using 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computer 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program IBM SPSS (Statistical Package for the Social Science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; IBM Corp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>, Armonk, NY, USA)</w:t>
      </w:r>
      <w:r w:rsidR="00DB1611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827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release 22 for Microsoft Windows.</w:t>
      </w:r>
    </w:p>
    <w:p w14:paraId="382B407C" w14:textId="77777777" w:rsidR="00286E7D" w:rsidRPr="008272D7" w:rsidRDefault="00286E7D" w:rsidP="00286E7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E55AA2A" w14:textId="77777777" w:rsidR="00947BCC" w:rsidRPr="008272D7" w:rsidRDefault="00947BCC" w:rsidP="00286E7D">
      <w:pPr>
        <w:rPr>
          <w:lang w:val="en-GB"/>
        </w:rPr>
      </w:pPr>
    </w:p>
    <w:sectPr w:rsidR="00947BCC" w:rsidRPr="0082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78A4" w14:textId="77777777" w:rsidR="00180DFD" w:rsidRDefault="00180DFD" w:rsidP="009569CE">
      <w:pPr>
        <w:spacing w:after="0" w:line="240" w:lineRule="auto"/>
      </w:pPr>
      <w:r>
        <w:separator/>
      </w:r>
    </w:p>
  </w:endnote>
  <w:endnote w:type="continuationSeparator" w:id="0">
    <w:p w14:paraId="28C9B2C9" w14:textId="77777777" w:rsidR="00180DFD" w:rsidRDefault="00180DFD" w:rsidP="0095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D07C" w14:textId="77777777" w:rsidR="009569CE" w:rsidRDefault="00956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267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AC760" w14:textId="77777777" w:rsidR="009569CE" w:rsidRDefault="009569C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F7C3F" w14:textId="77777777" w:rsidR="009569CE" w:rsidRDefault="009569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6E8A" w14:textId="77777777" w:rsidR="009569CE" w:rsidRDefault="00956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F448" w14:textId="77777777" w:rsidR="00180DFD" w:rsidRDefault="00180DFD" w:rsidP="009569CE">
      <w:pPr>
        <w:spacing w:after="0" w:line="240" w:lineRule="auto"/>
      </w:pPr>
      <w:r>
        <w:separator/>
      </w:r>
    </w:p>
  </w:footnote>
  <w:footnote w:type="continuationSeparator" w:id="0">
    <w:p w14:paraId="67CF2121" w14:textId="77777777" w:rsidR="00180DFD" w:rsidRDefault="00180DFD" w:rsidP="0095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6356" w14:textId="77777777" w:rsidR="009569CE" w:rsidRDefault="00956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EA4E" w14:textId="77777777" w:rsidR="009569CE" w:rsidRDefault="009569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ED5D" w14:textId="77777777" w:rsidR="009569CE" w:rsidRDefault="00956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B16"/>
    <w:multiLevelType w:val="hybridMultilevel"/>
    <w:tmpl w:val="34A2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65E"/>
    <w:multiLevelType w:val="hybridMultilevel"/>
    <w:tmpl w:val="9FC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4CB"/>
    <w:multiLevelType w:val="multilevel"/>
    <w:tmpl w:val="08B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DB2F5E"/>
    <w:multiLevelType w:val="multilevel"/>
    <w:tmpl w:val="E63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F41C9"/>
    <w:multiLevelType w:val="hybridMultilevel"/>
    <w:tmpl w:val="56FC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60F1"/>
    <w:multiLevelType w:val="hybridMultilevel"/>
    <w:tmpl w:val="4F0AA492"/>
    <w:lvl w:ilvl="0" w:tplc="9CE0D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F6"/>
    <w:rsid w:val="000209B5"/>
    <w:rsid w:val="00023F34"/>
    <w:rsid w:val="000368B3"/>
    <w:rsid w:val="000515D3"/>
    <w:rsid w:val="0007442A"/>
    <w:rsid w:val="000A1E60"/>
    <w:rsid w:val="000A263D"/>
    <w:rsid w:val="000A3184"/>
    <w:rsid w:val="000C507D"/>
    <w:rsid w:val="00163CCA"/>
    <w:rsid w:val="00180DFD"/>
    <w:rsid w:val="00182431"/>
    <w:rsid w:val="001D19C6"/>
    <w:rsid w:val="001D7334"/>
    <w:rsid w:val="00224A1B"/>
    <w:rsid w:val="00226D0B"/>
    <w:rsid w:val="00231C6F"/>
    <w:rsid w:val="00265D94"/>
    <w:rsid w:val="00286E7D"/>
    <w:rsid w:val="002B2F94"/>
    <w:rsid w:val="002D1CC8"/>
    <w:rsid w:val="002D433C"/>
    <w:rsid w:val="002E691B"/>
    <w:rsid w:val="002E7F27"/>
    <w:rsid w:val="0030261D"/>
    <w:rsid w:val="00306B11"/>
    <w:rsid w:val="00311735"/>
    <w:rsid w:val="00313FFC"/>
    <w:rsid w:val="003267D0"/>
    <w:rsid w:val="003928A6"/>
    <w:rsid w:val="003A6DB1"/>
    <w:rsid w:val="003D657B"/>
    <w:rsid w:val="003F1933"/>
    <w:rsid w:val="003F7C84"/>
    <w:rsid w:val="00426C16"/>
    <w:rsid w:val="004418AF"/>
    <w:rsid w:val="0045443C"/>
    <w:rsid w:val="00473F4F"/>
    <w:rsid w:val="004944BD"/>
    <w:rsid w:val="00497376"/>
    <w:rsid w:val="00497CF2"/>
    <w:rsid w:val="004B19E5"/>
    <w:rsid w:val="004B30E9"/>
    <w:rsid w:val="004D54B9"/>
    <w:rsid w:val="004F4517"/>
    <w:rsid w:val="004F6707"/>
    <w:rsid w:val="00500622"/>
    <w:rsid w:val="00547C91"/>
    <w:rsid w:val="005535A4"/>
    <w:rsid w:val="005609F2"/>
    <w:rsid w:val="0058165E"/>
    <w:rsid w:val="00597CA1"/>
    <w:rsid w:val="005A5B97"/>
    <w:rsid w:val="005E5979"/>
    <w:rsid w:val="00604B75"/>
    <w:rsid w:val="006050FF"/>
    <w:rsid w:val="006A467A"/>
    <w:rsid w:val="006C13FA"/>
    <w:rsid w:val="006D4EE7"/>
    <w:rsid w:val="006E23A5"/>
    <w:rsid w:val="006F5CBE"/>
    <w:rsid w:val="00703155"/>
    <w:rsid w:val="0071453C"/>
    <w:rsid w:val="0071665F"/>
    <w:rsid w:val="00786B96"/>
    <w:rsid w:val="0078707C"/>
    <w:rsid w:val="00792B59"/>
    <w:rsid w:val="007B6639"/>
    <w:rsid w:val="007F54F6"/>
    <w:rsid w:val="008272D7"/>
    <w:rsid w:val="00841699"/>
    <w:rsid w:val="00857605"/>
    <w:rsid w:val="00860381"/>
    <w:rsid w:val="00897F87"/>
    <w:rsid w:val="008A1CC4"/>
    <w:rsid w:val="008B60A3"/>
    <w:rsid w:val="008C2BC7"/>
    <w:rsid w:val="008D47E1"/>
    <w:rsid w:val="00910AB7"/>
    <w:rsid w:val="00947BCC"/>
    <w:rsid w:val="009569CE"/>
    <w:rsid w:val="009666F9"/>
    <w:rsid w:val="00984515"/>
    <w:rsid w:val="009852F7"/>
    <w:rsid w:val="0099327A"/>
    <w:rsid w:val="009E6358"/>
    <w:rsid w:val="009F49D4"/>
    <w:rsid w:val="00A76B68"/>
    <w:rsid w:val="00A87368"/>
    <w:rsid w:val="00AA091B"/>
    <w:rsid w:val="00AD4A00"/>
    <w:rsid w:val="00AD5EF7"/>
    <w:rsid w:val="00B3545B"/>
    <w:rsid w:val="00B92B09"/>
    <w:rsid w:val="00BB300C"/>
    <w:rsid w:val="00C057AA"/>
    <w:rsid w:val="00C301DA"/>
    <w:rsid w:val="00C30AA6"/>
    <w:rsid w:val="00C66782"/>
    <w:rsid w:val="00C67064"/>
    <w:rsid w:val="00C737E1"/>
    <w:rsid w:val="00C75F75"/>
    <w:rsid w:val="00C83684"/>
    <w:rsid w:val="00C83AF0"/>
    <w:rsid w:val="00CC1E48"/>
    <w:rsid w:val="00CC55F3"/>
    <w:rsid w:val="00CC5E99"/>
    <w:rsid w:val="00CE6673"/>
    <w:rsid w:val="00D32725"/>
    <w:rsid w:val="00D5063E"/>
    <w:rsid w:val="00D7030D"/>
    <w:rsid w:val="00D8636B"/>
    <w:rsid w:val="00DA4FED"/>
    <w:rsid w:val="00DB1611"/>
    <w:rsid w:val="00DE7BBD"/>
    <w:rsid w:val="00E25EFE"/>
    <w:rsid w:val="00E31653"/>
    <w:rsid w:val="00E50596"/>
    <w:rsid w:val="00E557F6"/>
    <w:rsid w:val="00E72C65"/>
    <w:rsid w:val="00E82F38"/>
    <w:rsid w:val="00EC5B60"/>
    <w:rsid w:val="00ED120F"/>
    <w:rsid w:val="00EE4ADA"/>
    <w:rsid w:val="00EF0204"/>
    <w:rsid w:val="00EF3FA7"/>
    <w:rsid w:val="00F0411E"/>
    <w:rsid w:val="00F10CA4"/>
    <w:rsid w:val="00F253D7"/>
    <w:rsid w:val="00F314CF"/>
    <w:rsid w:val="00F72C0E"/>
    <w:rsid w:val="00F851D2"/>
    <w:rsid w:val="00F86C4F"/>
    <w:rsid w:val="00FC6E84"/>
    <w:rsid w:val="00FD3337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FEF9A"/>
  <w15:docId w15:val="{65F81F20-5552-406D-A2CC-6B0C061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60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45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63CC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06B1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9CE"/>
  </w:style>
  <w:style w:type="paragraph" w:styleId="Fuzeile">
    <w:name w:val="footer"/>
    <w:basedOn w:val="Standard"/>
    <w:link w:val="FuzeileZchn"/>
    <w:uiPriority w:val="99"/>
    <w:unhideWhenUsed/>
    <w:rsid w:val="0095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9CE"/>
  </w:style>
  <w:style w:type="character" w:styleId="Hyperlink">
    <w:name w:val="Hyperlink"/>
    <w:basedOn w:val="Absatz-Standardschriftart"/>
    <w:uiPriority w:val="99"/>
    <w:semiHidden/>
    <w:unhideWhenUsed/>
    <w:rsid w:val="00547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Elisabeth Stöcklin</cp:lastModifiedBy>
  <cp:revision>23</cp:revision>
  <dcterms:created xsi:type="dcterms:W3CDTF">2020-04-03T18:56:00Z</dcterms:created>
  <dcterms:modified xsi:type="dcterms:W3CDTF">2020-09-30T13:17:00Z</dcterms:modified>
</cp:coreProperties>
</file>