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1B3A" w14:textId="769E9F97" w:rsidR="00286E7D" w:rsidRPr="008272D7" w:rsidRDefault="00286E7D" w:rsidP="00286E7D">
      <w:pPr>
        <w:spacing w:line="480" w:lineRule="auto"/>
        <w:jc w:val="both"/>
        <w:rPr>
          <w:rFonts w:ascii="Times New Roman" w:eastAsia="Calibri" w:hAnsi="Times New Roman" w:cs="Times New Roman"/>
          <w:sz w:val="24"/>
          <w:szCs w:val="24"/>
          <w:lang w:val="en-GB"/>
        </w:rPr>
      </w:pPr>
      <w:r w:rsidRPr="008272D7">
        <w:rPr>
          <w:rFonts w:ascii="Times New Roman" w:eastAsia="Calibri" w:hAnsi="Times New Roman" w:cs="Times New Roman"/>
          <w:b/>
          <w:bCs/>
          <w:sz w:val="24"/>
          <w:szCs w:val="24"/>
          <w:lang w:val="en-GB"/>
        </w:rPr>
        <w:t>Materials and Methods</w:t>
      </w:r>
    </w:p>
    <w:p w14:paraId="0AC84289" w14:textId="3782D63B" w:rsidR="00286E7D" w:rsidRPr="008272D7" w:rsidRDefault="00286E7D" w:rsidP="00C057AA">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This study was conducted at the dermatology outpatient clinic, Faculty of Medicine, Cairo University</w:t>
      </w:r>
      <w:r w:rsidR="00547C91">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in the period between April 2018 and September 2018. The study was approved by </w:t>
      </w:r>
      <w:r w:rsidR="00547C91">
        <w:rPr>
          <w:rFonts w:ascii="Times New Roman" w:eastAsia="Calibri" w:hAnsi="Times New Roman" w:cs="Times New Roman"/>
          <w:sz w:val="24"/>
          <w:szCs w:val="24"/>
          <w:lang w:val="en-GB"/>
        </w:rPr>
        <w:t xml:space="preserve">the </w:t>
      </w:r>
      <w:r w:rsidR="00547C91" w:rsidRPr="008272D7">
        <w:rPr>
          <w:rFonts w:ascii="Times New Roman" w:eastAsia="Calibri" w:hAnsi="Times New Roman" w:cs="Times New Roman"/>
          <w:sz w:val="24"/>
          <w:szCs w:val="24"/>
          <w:lang w:val="en-GB"/>
        </w:rPr>
        <w:t>Research Ethics Committee</w:t>
      </w:r>
      <w:r w:rsidR="00547C91">
        <w:rPr>
          <w:rFonts w:ascii="Times New Roman" w:eastAsia="Calibri" w:hAnsi="Times New Roman" w:cs="Times New Roman"/>
          <w:sz w:val="24"/>
          <w:szCs w:val="24"/>
          <w:lang w:val="en-GB"/>
        </w:rPr>
        <w:t xml:space="preserve">, </w:t>
      </w:r>
      <w:r w:rsidRPr="008272D7">
        <w:rPr>
          <w:rFonts w:ascii="Times New Roman" w:eastAsia="Calibri" w:hAnsi="Times New Roman" w:cs="Times New Roman"/>
          <w:sz w:val="24"/>
          <w:szCs w:val="24"/>
          <w:lang w:val="en-GB"/>
        </w:rPr>
        <w:t xml:space="preserve">Faculty of Medicine, Cairo University, and all participants signed informed written consents. The study included 30 patients with cutaneous LP and 30 healthy controls undergoing abdominoplasty and other minor surgeries. </w:t>
      </w:r>
    </w:p>
    <w:p w14:paraId="3FAD39AB" w14:textId="21A242A9" w:rsidR="00286E7D" w:rsidRPr="008272D7" w:rsidRDefault="00286E7D" w:rsidP="00286E7D">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Exclusion criteria were: hepatitis C virus antibod</w:t>
      </w:r>
      <w:r w:rsidR="00547C91">
        <w:rPr>
          <w:rFonts w:ascii="Times New Roman" w:eastAsia="Calibri" w:hAnsi="Times New Roman" w:cs="Times New Roman"/>
          <w:sz w:val="24"/>
          <w:szCs w:val="24"/>
          <w:lang w:val="en-GB"/>
        </w:rPr>
        <w:t>y-</w:t>
      </w:r>
      <w:r w:rsidRPr="008272D7">
        <w:rPr>
          <w:rFonts w:ascii="Times New Roman" w:eastAsia="Calibri" w:hAnsi="Times New Roman" w:cs="Times New Roman"/>
          <w:sz w:val="24"/>
          <w:szCs w:val="24"/>
          <w:lang w:val="en-GB"/>
        </w:rPr>
        <w:t>positive participants, receiving treatment in the past 3 months, associated concomitant skin diseases, autoimmune diseases, cancer or chronic infection, pregnancy and lactation, vitamin D supplementation, topical use of vitamin D analogues or receiving phototherapy during the past 3 months.</w:t>
      </w:r>
    </w:p>
    <w:p w14:paraId="738A1BED" w14:textId="4725823C" w:rsidR="00286E7D" w:rsidRPr="008272D7" w:rsidRDefault="00286E7D" w:rsidP="009F49D4">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 xml:space="preserve">For all patients, </w:t>
      </w:r>
      <w:r w:rsidR="00547C91">
        <w:rPr>
          <w:rFonts w:ascii="Times New Roman" w:eastAsia="Calibri" w:hAnsi="Times New Roman" w:cs="Times New Roman"/>
          <w:sz w:val="24"/>
          <w:szCs w:val="24"/>
          <w:lang w:val="en-GB"/>
        </w:rPr>
        <w:t xml:space="preserve">a </w:t>
      </w:r>
      <w:r w:rsidRPr="008272D7">
        <w:rPr>
          <w:rFonts w:ascii="Times New Roman" w:eastAsia="Calibri" w:hAnsi="Times New Roman" w:cs="Times New Roman"/>
          <w:sz w:val="24"/>
          <w:szCs w:val="24"/>
          <w:lang w:val="en-GB"/>
        </w:rPr>
        <w:t xml:space="preserve">full history was taken including onset, course and duration of the disease, previous treatment and family history. All participants were asked about the frequency and duration of sun exposure. Adequate sun exposure was considered as exposure sufficient for </w:t>
      </w:r>
      <w:r w:rsidR="00547C91">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production of vitamin D requirements, defined as 5–10 min of unprotected noontime sun exposure of the arms and legs or the hands, arms and face, 2 or 3 times per week.</w:t>
      </w:r>
    </w:p>
    <w:p w14:paraId="145E45E4" w14:textId="20E736FF" w:rsidR="00286E7D" w:rsidRPr="008272D7" w:rsidRDefault="00286E7D" w:rsidP="00286E7D">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 xml:space="preserve">The weight and height were measured, for calculation of </w:t>
      </w:r>
      <w:r w:rsidR="00547C91">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body mass index: BMI</w:t>
      </w:r>
      <w:r w:rsidR="00E72C65">
        <w:rPr>
          <w:rFonts w:ascii="Times New Roman" w:eastAsia="Calibri" w:hAnsi="Times New Roman" w:cs="Times New Roman"/>
          <w:sz w:val="24"/>
          <w:szCs w:val="24"/>
          <w:lang w:val="en-GB"/>
        </w:rPr>
        <w:t xml:space="preserve"> </w:t>
      </w:r>
      <w:r w:rsidRPr="008272D7">
        <w:rPr>
          <w:rFonts w:ascii="Times New Roman" w:eastAsia="Calibri" w:hAnsi="Times New Roman" w:cs="Times New Roman"/>
          <w:sz w:val="24"/>
          <w:szCs w:val="24"/>
          <w:lang w:val="en-GB"/>
        </w:rPr>
        <w:t>=</w:t>
      </w:r>
      <w:r w:rsidR="00E72C65">
        <w:rPr>
          <w:rFonts w:ascii="Times New Roman" w:eastAsia="Calibri" w:hAnsi="Times New Roman" w:cs="Times New Roman"/>
          <w:sz w:val="24"/>
          <w:szCs w:val="24"/>
          <w:lang w:val="en-GB"/>
        </w:rPr>
        <w:t xml:space="preserve"> </w:t>
      </w:r>
      <w:r w:rsidRPr="008272D7">
        <w:rPr>
          <w:rFonts w:ascii="Times New Roman" w:eastAsia="Calibri" w:hAnsi="Times New Roman" w:cs="Times New Roman"/>
          <w:sz w:val="24"/>
          <w:szCs w:val="24"/>
          <w:lang w:val="en-GB"/>
        </w:rPr>
        <w:t xml:space="preserve">weight in </w:t>
      </w:r>
      <w:r w:rsidR="00E72C65" w:rsidRPr="008272D7">
        <w:rPr>
          <w:rFonts w:ascii="Times New Roman" w:eastAsia="Calibri" w:hAnsi="Times New Roman" w:cs="Times New Roman"/>
          <w:sz w:val="24"/>
          <w:szCs w:val="24"/>
          <w:lang w:val="en-GB"/>
        </w:rPr>
        <w:t>k</w:t>
      </w:r>
      <w:r w:rsidRPr="008272D7">
        <w:rPr>
          <w:rFonts w:ascii="Times New Roman" w:eastAsia="Calibri" w:hAnsi="Times New Roman" w:cs="Times New Roman"/>
          <w:sz w:val="24"/>
          <w:szCs w:val="24"/>
          <w:lang w:val="en-GB"/>
        </w:rPr>
        <w:t>g</w:t>
      </w:r>
      <w:proofErr w:type="gramStart"/>
      <w:r w:rsidRPr="008272D7">
        <w:rPr>
          <w:rFonts w:ascii="Times New Roman" w:eastAsia="Calibri" w:hAnsi="Times New Roman" w:cs="Times New Roman"/>
          <w:sz w:val="24"/>
          <w:szCs w:val="24"/>
          <w:lang w:val="en-GB"/>
        </w:rPr>
        <w:t>/(</w:t>
      </w:r>
      <w:proofErr w:type="gramEnd"/>
      <w:r w:rsidRPr="008272D7">
        <w:rPr>
          <w:rFonts w:ascii="Times New Roman" w:eastAsia="Calibri" w:hAnsi="Times New Roman" w:cs="Times New Roman"/>
          <w:sz w:val="24"/>
          <w:szCs w:val="24"/>
          <w:lang w:val="en-GB"/>
        </w:rPr>
        <w:t>height in m)</w:t>
      </w:r>
      <w:r w:rsidRPr="008272D7">
        <w:rPr>
          <w:rFonts w:ascii="Times New Roman" w:eastAsia="Calibri" w:hAnsi="Times New Roman" w:cs="Times New Roman"/>
          <w:sz w:val="24"/>
          <w:szCs w:val="24"/>
          <w:vertAlign w:val="superscript"/>
          <w:lang w:val="en-GB"/>
        </w:rPr>
        <w:t>2</w:t>
      </w:r>
      <w:r w:rsidRPr="008272D7">
        <w:rPr>
          <w:rFonts w:ascii="Times New Roman" w:eastAsia="Calibri" w:hAnsi="Times New Roman" w:cs="Times New Roman"/>
          <w:sz w:val="24"/>
          <w:szCs w:val="24"/>
          <w:lang w:val="en-GB"/>
        </w:rPr>
        <w:t xml:space="preserve">. Clinical assessment was done to determine the extent of disease using </w:t>
      </w:r>
      <w:r w:rsidR="00E72C65">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rule of nine, type of cutaneous LP (classic, hypertrophic, atrophic, linear, annular, palmoplantar), type of oral LP (plaque, reticular and erosive) and the anatomical sites of the lesions.</w:t>
      </w:r>
    </w:p>
    <w:p w14:paraId="7FABF9CA" w14:textId="06899D7A" w:rsidR="00286E7D" w:rsidRPr="008272D7" w:rsidRDefault="00286E7D" w:rsidP="009F49D4">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A 4</w:t>
      </w:r>
      <w:r w:rsidR="0058165E">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ml venous blood sample was taken from each participant for </w:t>
      </w:r>
      <w:r w:rsidR="0058165E">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assessment of serum levels of IL-17 and 25</w:t>
      </w:r>
      <w:r w:rsidR="0058165E">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hydroxyvitamin D (25-OHD). Blood samples were left to clot, then </w:t>
      </w:r>
      <w:r w:rsidRPr="008272D7">
        <w:rPr>
          <w:rFonts w:ascii="Times New Roman" w:eastAsia="Calibri" w:hAnsi="Times New Roman" w:cs="Times New Roman"/>
          <w:sz w:val="24"/>
          <w:szCs w:val="24"/>
          <w:lang w:val="en-GB"/>
        </w:rPr>
        <w:lastRenderedPageBreak/>
        <w:t xml:space="preserve">centrifuged and the separated serum was stored at </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20˚C. Vitamin D status was defined as: deficient (&lt;20 ng/mL), insufficient (20</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29 ng/mL)</w:t>
      </w:r>
      <w:r w:rsidR="009F49D4" w:rsidRPr="008272D7">
        <w:rPr>
          <w:rFonts w:ascii="Times New Roman" w:eastAsia="Calibri" w:hAnsi="Times New Roman" w:cs="Times New Roman"/>
          <w:sz w:val="24"/>
          <w:szCs w:val="24"/>
          <w:lang w:val="en-GB"/>
        </w:rPr>
        <w:t xml:space="preserve"> and sufficient (&gt;29</w:t>
      </w:r>
      <w:r w:rsidR="000C507D">
        <w:rPr>
          <w:rFonts w:ascii="Times New Roman" w:eastAsia="Calibri" w:hAnsi="Times New Roman" w:cs="Times New Roman"/>
          <w:sz w:val="24"/>
          <w:szCs w:val="24"/>
          <w:lang w:val="en-GB"/>
        </w:rPr>
        <w:t xml:space="preserve"> </w:t>
      </w:r>
      <w:r w:rsidR="009F49D4" w:rsidRPr="008272D7">
        <w:rPr>
          <w:rFonts w:ascii="Times New Roman" w:eastAsia="Calibri" w:hAnsi="Times New Roman" w:cs="Times New Roman"/>
          <w:sz w:val="24"/>
          <w:szCs w:val="24"/>
          <w:lang w:val="en-GB"/>
        </w:rPr>
        <w:t>ng/mL).</w:t>
      </w:r>
      <w:r w:rsidRPr="008272D7">
        <w:rPr>
          <w:rFonts w:ascii="Times New Roman" w:eastAsia="Calibri" w:hAnsi="Times New Roman" w:cs="Times New Roman"/>
          <w:sz w:val="24"/>
          <w:szCs w:val="24"/>
          <w:lang w:val="en-GB"/>
        </w:rPr>
        <w:t xml:space="preserve"> A 3</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mm punch biopsy was taken from the </w:t>
      </w:r>
      <w:proofErr w:type="spellStart"/>
      <w:r w:rsidRPr="008272D7">
        <w:rPr>
          <w:rFonts w:ascii="Times New Roman" w:eastAsia="Calibri" w:hAnsi="Times New Roman" w:cs="Times New Roman"/>
          <w:sz w:val="24"/>
          <w:szCs w:val="24"/>
          <w:lang w:val="en-GB"/>
        </w:rPr>
        <w:t>lesional</w:t>
      </w:r>
      <w:proofErr w:type="spellEnd"/>
      <w:r w:rsidRPr="008272D7">
        <w:rPr>
          <w:rFonts w:ascii="Times New Roman" w:eastAsia="Calibri" w:hAnsi="Times New Roman" w:cs="Times New Roman"/>
          <w:sz w:val="24"/>
          <w:szCs w:val="24"/>
          <w:lang w:val="en-GB"/>
        </w:rPr>
        <w:t xml:space="preserve"> skin of each patient and normal skin of each control and frozen at </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20˚C, for </w:t>
      </w:r>
      <w:r w:rsidR="000C507D">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assessment of tissue levels of IL-17. For local an</w:t>
      </w:r>
      <w:r w:rsidR="000C507D">
        <w:rPr>
          <w:rFonts w:ascii="Times New Roman" w:eastAsia="Calibri" w:hAnsi="Times New Roman" w:cs="Times New Roman"/>
          <w:sz w:val="24"/>
          <w:szCs w:val="24"/>
          <w:lang w:val="en-GB"/>
        </w:rPr>
        <w:t>a</w:t>
      </w:r>
      <w:r w:rsidRPr="008272D7">
        <w:rPr>
          <w:rFonts w:ascii="Times New Roman" w:eastAsia="Calibri" w:hAnsi="Times New Roman" w:cs="Times New Roman"/>
          <w:sz w:val="24"/>
          <w:szCs w:val="24"/>
          <w:lang w:val="en-GB"/>
        </w:rPr>
        <w:t xml:space="preserve">esthesia, xylocaine was injected around the biopsy site beforehand. </w:t>
      </w:r>
    </w:p>
    <w:p w14:paraId="039AC2E8" w14:textId="77777777" w:rsidR="00286E7D" w:rsidRPr="008272D7" w:rsidRDefault="00286E7D" w:rsidP="00286E7D">
      <w:pPr>
        <w:spacing w:line="480" w:lineRule="auto"/>
        <w:jc w:val="both"/>
        <w:rPr>
          <w:rFonts w:ascii="Times New Roman" w:eastAsia="Calibri" w:hAnsi="Times New Roman" w:cs="Times New Roman"/>
          <w:b/>
          <w:bCs/>
          <w:sz w:val="24"/>
          <w:szCs w:val="24"/>
          <w:lang w:val="en-GB"/>
        </w:rPr>
      </w:pPr>
    </w:p>
    <w:p w14:paraId="6333EFF5" w14:textId="4AC27895" w:rsidR="00286E7D" w:rsidRPr="000C507D" w:rsidRDefault="00286E7D" w:rsidP="00286E7D">
      <w:pPr>
        <w:spacing w:line="480" w:lineRule="auto"/>
        <w:jc w:val="both"/>
        <w:rPr>
          <w:rFonts w:ascii="Times New Roman" w:eastAsia="Calibri" w:hAnsi="Times New Roman" w:cs="Times New Roman"/>
          <w:i/>
          <w:iCs/>
          <w:color w:val="FF0000"/>
          <w:sz w:val="24"/>
          <w:szCs w:val="24"/>
          <w:lang w:val="en-GB"/>
        </w:rPr>
      </w:pPr>
      <w:r w:rsidRPr="000C507D">
        <w:rPr>
          <w:rFonts w:ascii="Times New Roman" w:eastAsia="Calibri" w:hAnsi="Times New Roman" w:cs="Times New Roman"/>
          <w:i/>
          <w:iCs/>
          <w:sz w:val="24"/>
          <w:szCs w:val="24"/>
          <w:lang w:val="en-GB"/>
        </w:rPr>
        <w:t xml:space="preserve">Quantitation of IL-17 in </w:t>
      </w:r>
      <w:r w:rsidR="000C507D" w:rsidRPr="000C507D">
        <w:rPr>
          <w:rFonts w:ascii="Times New Roman" w:eastAsia="Calibri" w:hAnsi="Times New Roman" w:cs="Times New Roman"/>
          <w:i/>
          <w:iCs/>
          <w:sz w:val="24"/>
          <w:szCs w:val="24"/>
          <w:lang w:val="en-GB"/>
        </w:rPr>
        <w:t xml:space="preserve">Serum </w:t>
      </w:r>
      <w:r w:rsidRPr="000C507D">
        <w:rPr>
          <w:rFonts w:ascii="Times New Roman" w:eastAsia="Calibri" w:hAnsi="Times New Roman" w:cs="Times New Roman"/>
          <w:i/>
          <w:iCs/>
          <w:sz w:val="24"/>
          <w:szCs w:val="24"/>
          <w:lang w:val="en-GB"/>
        </w:rPr>
        <w:t xml:space="preserve">and </w:t>
      </w:r>
      <w:r w:rsidR="000C507D" w:rsidRPr="000C507D">
        <w:rPr>
          <w:rFonts w:ascii="Times New Roman" w:eastAsia="Calibri" w:hAnsi="Times New Roman" w:cs="Times New Roman"/>
          <w:i/>
          <w:iCs/>
          <w:sz w:val="24"/>
          <w:szCs w:val="24"/>
          <w:lang w:val="en-GB"/>
        </w:rPr>
        <w:t>Tissue Homogenate Sup</w:t>
      </w:r>
      <w:r w:rsidRPr="000C507D">
        <w:rPr>
          <w:rFonts w:ascii="Times New Roman" w:eastAsia="Calibri" w:hAnsi="Times New Roman" w:cs="Times New Roman"/>
          <w:i/>
          <w:iCs/>
          <w:sz w:val="24"/>
          <w:szCs w:val="24"/>
          <w:lang w:val="en-GB"/>
        </w:rPr>
        <w:t>ernatant</w:t>
      </w:r>
    </w:p>
    <w:p w14:paraId="5A897440" w14:textId="39FF894D" w:rsidR="00286E7D" w:rsidRPr="008272D7" w:rsidRDefault="00286E7D" w:rsidP="00286E7D">
      <w:pPr>
        <w:spacing w:line="480" w:lineRule="auto"/>
        <w:ind w:firstLine="720"/>
        <w:jc w:val="both"/>
        <w:rPr>
          <w:rFonts w:ascii="Times New Roman" w:eastAsia="Calibri" w:hAnsi="Times New Roman" w:cs="Times New Roman"/>
          <w:b/>
          <w:bCs/>
          <w:sz w:val="24"/>
          <w:szCs w:val="24"/>
          <w:lang w:val="en-GB"/>
        </w:rPr>
      </w:pPr>
      <w:r w:rsidRPr="008272D7">
        <w:rPr>
          <w:rFonts w:ascii="Times New Roman" w:eastAsia="Calibri" w:hAnsi="Times New Roman" w:cs="Times New Roman"/>
          <w:sz w:val="24"/>
          <w:szCs w:val="24"/>
          <w:lang w:val="en-GB"/>
        </w:rPr>
        <w:t>Each skin biopsy was weighed and homogenized in 300 µl phosphate buffer saline</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centrifuged at 4</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000 </w:t>
      </w:r>
      <w:r w:rsidRPr="000C507D">
        <w:rPr>
          <w:rFonts w:ascii="Times New Roman" w:eastAsia="Calibri" w:hAnsi="Times New Roman" w:cs="Times New Roman"/>
          <w:i/>
          <w:sz w:val="24"/>
          <w:szCs w:val="24"/>
          <w:lang w:val="en-GB"/>
        </w:rPr>
        <w:t>g</w:t>
      </w:r>
      <w:r w:rsidRPr="008272D7">
        <w:rPr>
          <w:rFonts w:ascii="Times New Roman" w:eastAsia="Calibri" w:hAnsi="Times New Roman" w:cs="Times New Roman"/>
          <w:sz w:val="24"/>
          <w:szCs w:val="24"/>
          <w:lang w:val="en-GB"/>
        </w:rPr>
        <w:t xml:space="preserve"> for 10 min, then the supernatant was used for determination of IL-17 concentrations. Serum and supernatant were used in measuring IL-17 using </w:t>
      </w:r>
      <w:r w:rsidR="000C507D">
        <w:rPr>
          <w:rFonts w:ascii="Times New Roman" w:eastAsia="Calibri" w:hAnsi="Times New Roman" w:cs="Times New Roman"/>
          <w:sz w:val="24"/>
          <w:szCs w:val="24"/>
          <w:lang w:val="en-GB"/>
        </w:rPr>
        <w:t xml:space="preserve">a </w:t>
      </w:r>
      <w:r w:rsidRPr="008272D7">
        <w:rPr>
          <w:rFonts w:ascii="Times New Roman" w:eastAsia="Calibri" w:hAnsi="Times New Roman" w:cs="Times New Roman"/>
          <w:sz w:val="24"/>
          <w:szCs w:val="24"/>
          <w:lang w:val="en-GB"/>
        </w:rPr>
        <w:t xml:space="preserve">human IL-17 ELISA kit provided from BMS2017/BMS2017TEN supplied from </w:t>
      </w:r>
      <w:proofErr w:type="spellStart"/>
      <w:r w:rsidRPr="008272D7">
        <w:rPr>
          <w:rFonts w:ascii="Times New Roman" w:eastAsia="Calibri" w:hAnsi="Times New Roman" w:cs="Times New Roman"/>
          <w:sz w:val="24"/>
          <w:szCs w:val="24"/>
          <w:lang w:val="en-GB"/>
        </w:rPr>
        <w:t>eBioscience</w:t>
      </w:r>
      <w:proofErr w:type="spellEnd"/>
      <w:r w:rsidRPr="008272D7">
        <w:rPr>
          <w:rFonts w:ascii="Times New Roman" w:eastAsia="Calibri" w:hAnsi="Times New Roman" w:cs="Times New Roman"/>
          <w:sz w:val="24"/>
          <w:szCs w:val="24"/>
          <w:lang w:val="en-GB"/>
        </w:rPr>
        <w:t xml:space="preserve">, </w:t>
      </w:r>
      <w:r w:rsidR="000C507D" w:rsidRPr="008272D7">
        <w:rPr>
          <w:rFonts w:ascii="Times New Roman" w:eastAsia="Calibri" w:hAnsi="Times New Roman" w:cs="Times New Roman"/>
          <w:sz w:val="24"/>
          <w:szCs w:val="24"/>
          <w:lang w:val="en-GB"/>
        </w:rPr>
        <w:t>A</w:t>
      </w:r>
      <w:r w:rsidRPr="008272D7">
        <w:rPr>
          <w:rFonts w:ascii="Times New Roman" w:eastAsia="Calibri" w:hAnsi="Times New Roman" w:cs="Times New Roman"/>
          <w:sz w:val="24"/>
          <w:szCs w:val="24"/>
          <w:lang w:val="en-GB"/>
        </w:rPr>
        <w:t>ffymetrix (Vienna, Austria). An anti-human IL-17A</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coating antibody was adsorbed onto microwells. Human IL-17A present in the sample or standard binds to antibodies adsorbed to the microwells. A biotin-conjugated anti-human IL-17A antibody was added and b</w:t>
      </w:r>
      <w:r w:rsidR="000C507D">
        <w:rPr>
          <w:rFonts w:ascii="Times New Roman" w:eastAsia="Calibri" w:hAnsi="Times New Roman" w:cs="Times New Roman"/>
          <w:sz w:val="24"/>
          <w:szCs w:val="24"/>
          <w:lang w:val="en-GB"/>
        </w:rPr>
        <w:t>ou</w:t>
      </w:r>
      <w:r w:rsidRPr="008272D7">
        <w:rPr>
          <w:rFonts w:ascii="Times New Roman" w:eastAsia="Calibri" w:hAnsi="Times New Roman" w:cs="Times New Roman"/>
          <w:sz w:val="24"/>
          <w:szCs w:val="24"/>
          <w:lang w:val="en-GB"/>
        </w:rPr>
        <w:t xml:space="preserve">nd to </w:t>
      </w:r>
      <w:r w:rsidR="000C507D">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human IL-17A captured by the first antibody. Unbound biotin</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conjugated anti-human IL-17A antibody was removed during a wash step. Streptavidin-</w:t>
      </w:r>
      <w:r w:rsidR="000C507D">
        <w:rPr>
          <w:rFonts w:ascii="Times New Roman" w:eastAsia="Calibri" w:hAnsi="Times New Roman" w:cs="Times New Roman"/>
          <w:sz w:val="24"/>
          <w:szCs w:val="24"/>
          <w:lang w:val="en-GB"/>
        </w:rPr>
        <w:t>horseradish peroxidase (</w:t>
      </w:r>
      <w:r w:rsidRPr="008272D7">
        <w:rPr>
          <w:rFonts w:ascii="Times New Roman" w:eastAsia="Calibri" w:hAnsi="Times New Roman" w:cs="Times New Roman"/>
          <w:sz w:val="24"/>
          <w:szCs w:val="24"/>
          <w:lang w:val="en-GB"/>
        </w:rPr>
        <w:t>HRP</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was added and bound to the biotin</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conjugated anti-human IL-17A antibody. Unbound </w:t>
      </w:r>
      <w:r w:rsidR="000C507D" w:rsidRPr="008272D7">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treptavidin-HRP was removed during a wash step, and substrate solution reactive with HRP was added to the wells. A colo</w:t>
      </w:r>
      <w:r w:rsidR="000C507D">
        <w:rPr>
          <w:rFonts w:ascii="Times New Roman" w:eastAsia="Calibri" w:hAnsi="Times New Roman" w:cs="Times New Roman"/>
          <w:sz w:val="24"/>
          <w:szCs w:val="24"/>
          <w:lang w:val="en-GB"/>
        </w:rPr>
        <w:t>u</w:t>
      </w:r>
      <w:r w:rsidRPr="008272D7">
        <w:rPr>
          <w:rFonts w:ascii="Times New Roman" w:eastAsia="Calibri" w:hAnsi="Times New Roman" w:cs="Times New Roman"/>
          <w:sz w:val="24"/>
          <w:szCs w:val="24"/>
          <w:lang w:val="en-GB"/>
        </w:rPr>
        <w:t>red product was formed in proportion to the amount of human IL-17A present in the sample or standard. The reaction was terminated by addition of acid</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and absorbance was measured at 450 nm. A standard curve was prepared</w:t>
      </w:r>
      <w:r w:rsidR="000C507D">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and </w:t>
      </w:r>
      <w:r w:rsidR="000C507D">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human IL-17A sample concentration was determined.</w:t>
      </w:r>
    </w:p>
    <w:p w14:paraId="663DAAD1" w14:textId="7BA69FC7" w:rsidR="00286E7D" w:rsidRPr="00497376" w:rsidRDefault="00286E7D" w:rsidP="00286E7D">
      <w:pPr>
        <w:spacing w:line="480" w:lineRule="auto"/>
        <w:jc w:val="both"/>
        <w:rPr>
          <w:rFonts w:ascii="Times New Roman" w:eastAsia="Calibri" w:hAnsi="Times New Roman" w:cs="Times New Roman"/>
          <w:i/>
          <w:iCs/>
          <w:sz w:val="24"/>
          <w:szCs w:val="24"/>
          <w:lang w:val="en-GB"/>
        </w:rPr>
      </w:pPr>
      <w:r w:rsidRPr="00497376">
        <w:rPr>
          <w:rFonts w:ascii="Times New Roman" w:eastAsia="Calibri" w:hAnsi="Times New Roman" w:cs="Times New Roman"/>
          <w:i/>
          <w:iCs/>
          <w:sz w:val="24"/>
          <w:szCs w:val="24"/>
          <w:lang w:val="en-GB"/>
        </w:rPr>
        <w:lastRenderedPageBreak/>
        <w:t xml:space="preserve">Vitamin D </w:t>
      </w:r>
      <w:r w:rsidR="00497376" w:rsidRPr="00497376">
        <w:rPr>
          <w:rFonts w:ascii="Times New Roman" w:eastAsia="Calibri" w:hAnsi="Times New Roman" w:cs="Times New Roman"/>
          <w:i/>
          <w:iCs/>
          <w:sz w:val="24"/>
          <w:szCs w:val="24"/>
          <w:lang w:val="en-GB"/>
        </w:rPr>
        <w:t xml:space="preserve">Detection </w:t>
      </w:r>
      <w:r w:rsidRPr="00497376">
        <w:rPr>
          <w:rFonts w:ascii="Times New Roman" w:eastAsia="Calibri" w:hAnsi="Times New Roman" w:cs="Times New Roman"/>
          <w:i/>
          <w:iCs/>
          <w:sz w:val="24"/>
          <w:szCs w:val="24"/>
          <w:lang w:val="en-GB"/>
        </w:rPr>
        <w:t xml:space="preserve">in </w:t>
      </w:r>
      <w:r w:rsidR="00497376" w:rsidRPr="00497376">
        <w:rPr>
          <w:rFonts w:ascii="Times New Roman" w:eastAsia="Calibri" w:hAnsi="Times New Roman" w:cs="Times New Roman"/>
          <w:i/>
          <w:iCs/>
          <w:sz w:val="24"/>
          <w:szCs w:val="24"/>
          <w:lang w:val="en-GB"/>
        </w:rPr>
        <w:t>Serum</w:t>
      </w:r>
    </w:p>
    <w:p w14:paraId="66CEFF85" w14:textId="481E7D84" w:rsidR="00286E7D" w:rsidRPr="008272D7" w:rsidRDefault="00286E7D" w:rsidP="00286E7D">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 xml:space="preserve">Vitamin D was measured in sera using </w:t>
      </w:r>
      <w:r w:rsidR="00497376">
        <w:rPr>
          <w:rFonts w:ascii="Times New Roman" w:eastAsia="Calibri" w:hAnsi="Times New Roman" w:cs="Times New Roman"/>
          <w:sz w:val="24"/>
          <w:szCs w:val="24"/>
          <w:lang w:val="en-GB"/>
        </w:rPr>
        <w:t xml:space="preserve">a </w:t>
      </w:r>
      <w:r w:rsidRPr="008272D7">
        <w:rPr>
          <w:rFonts w:ascii="Times New Roman" w:eastAsia="Calibri" w:hAnsi="Times New Roman" w:cs="Times New Roman"/>
          <w:sz w:val="24"/>
          <w:szCs w:val="24"/>
          <w:lang w:val="en-GB"/>
        </w:rPr>
        <w:t xml:space="preserve">human 25-OHD ELISA kit provided by </w:t>
      </w:r>
      <w:proofErr w:type="spellStart"/>
      <w:r w:rsidRPr="008272D7">
        <w:rPr>
          <w:rFonts w:ascii="Times New Roman" w:eastAsia="Calibri" w:hAnsi="Times New Roman" w:cs="Times New Roman"/>
          <w:sz w:val="24"/>
          <w:szCs w:val="24"/>
          <w:lang w:val="en-GB"/>
        </w:rPr>
        <w:t>Sunredbio</w:t>
      </w:r>
      <w:proofErr w:type="spellEnd"/>
      <w:r w:rsidRPr="008272D7">
        <w:rPr>
          <w:rFonts w:ascii="Times New Roman" w:eastAsia="Calibri" w:hAnsi="Times New Roman" w:cs="Times New Roman"/>
          <w:sz w:val="24"/>
          <w:szCs w:val="24"/>
          <w:lang w:val="en-GB"/>
        </w:rPr>
        <w:t xml:space="preserve">, Shanghai, China. This ELISA kit is based on the principle of </w:t>
      </w:r>
      <w:r w:rsidR="00497376">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 xml:space="preserve">double antibody sandwich. 25-OHD was added to </w:t>
      </w:r>
      <w:r w:rsidR="00497376">
        <w:rPr>
          <w:rFonts w:ascii="Times New Roman" w:eastAsia="Calibri" w:hAnsi="Times New Roman" w:cs="Times New Roman"/>
          <w:sz w:val="24"/>
          <w:szCs w:val="24"/>
          <w:lang w:val="en-GB"/>
        </w:rPr>
        <w:t xml:space="preserve">a </w:t>
      </w:r>
      <w:r w:rsidRPr="008272D7">
        <w:rPr>
          <w:rFonts w:ascii="Times New Roman" w:eastAsia="Calibri" w:hAnsi="Times New Roman" w:cs="Times New Roman"/>
          <w:sz w:val="24"/>
          <w:szCs w:val="24"/>
          <w:lang w:val="en-GB"/>
        </w:rPr>
        <w:t>monoclonal antibody enzyme well which is precoated with human 25-OHD. Incubation was done; then, 25-OHD antibodies labe</w:t>
      </w:r>
      <w:r w:rsidR="00497376">
        <w:rPr>
          <w:rFonts w:ascii="Times New Roman" w:eastAsia="Calibri" w:hAnsi="Times New Roman" w:cs="Times New Roman"/>
          <w:sz w:val="24"/>
          <w:szCs w:val="24"/>
          <w:lang w:val="en-GB"/>
        </w:rPr>
        <w:t>l</w:t>
      </w:r>
      <w:r w:rsidRPr="008272D7">
        <w:rPr>
          <w:rFonts w:ascii="Times New Roman" w:eastAsia="Calibri" w:hAnsi="Times New Roman" w:cs="Times New Roman"/>
          <w:sz w:val="24"/>
          <w:szCs w:val="24"/>
          <w:lang w:val="en-GB"/>
        </w:rPr>
        <w:t xml:space="preserve">led with biotin were added and combined with </w:t>
      </w:r>
      <w:r w:rsidR="00497376" w:rsidRPr="008272D7">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 xml:space="preserve">treptavidin-HRP to form </w:t>
      </w:r>
      <w:r w:rsidR="00497376">
        <w:rPr>
          <w:rFonts w:ascii="Times New Roman" w:eastAsia="Calibri" w:hAnsi="Times New Roman" w:cs="Times New Roman"/>
          <w:sz w:val="24"/>
          <w:szCs w:val="24"/>
          <w:lang w:val="en-GB"/>
        </w:rPr>
        <w:t xml:space="preserve">an </w:t>
      </w:r>
      <w:r w:rsidRPr="008272D7">
        <w:rPr>
          <w:rFonts w:ascii="Times New Roman" w:eastAsia="Calibri" w:hAnsi="Times New Roman" w:cs="Times New Roman"/>
          <w:sz w:val="24"/>
          <w:szCs w:val="24"/>
          <w:lang w:val="en-GB"/>
        </w:rPr>
        <w:t xml:space="preserve">immune complex; then incubation and washing were carried out again to remove the </w:t>
      </w:r>
      <w:proofErr w:type="spellStart"/>
      <w:r w:rsidRPr="008272D7">
        <w:rPr>
          <w:rFonts w:ascii="Times New Roman" w:eastAsia="Calibri" w:hAnsi="Times New Roman" w:cs="Times New Roman"/>
          <w:sz w:val="24"/>
          <w:szCs w:val="24"/>
          <w:lang w:val="en-GB"/>
        </w:rPr>
        <w:t>uncombined</w:t>
      </w:r>
      <w:proofErr w:type="spellEnd"/>
      <w:r w:rsidRPr="008272D7">
        <w:rPr>
          <w:rFonts w:ascii="Times New Roman" w:eastAsia="Calibri" w:hAnsi="Times New Roman" w:cs="Times New Roman"/>
          <w:sz w:val="24"/>
          <w:szCs w:val="24"/>
          <w:lang w:val="en-GB"/>
        </w:rPr>
        <w:t xml:space="preserve"> enzyme. Then</w:t>
      </w:r>
      <w:r w:rsidR="00497376">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chromogen solutions A and B were added, the colo</w:t>
      </w:r>
      <w:r w:rsidR="00497376">
        <w:rPr>
          <w:rFonts w:ascii="Times New Roman" w:eastAsia="Calibri" w:hAnsi="Times New Roman" w:cs="Times New Roman"/>
          <w:sz w:val="24"/>
          <w:szCs w:val="24"/>
          <w:lang w:val="en-GB"/>
        </w:rPr>
        <w:t>u</w:t>
      </w:r>
      <w:r w:rsidRPr="008272D7">
        <w:rPr>
          <w:rFonts w:ascii="Times New Roman" w:eastAsia="Calibri" w:hAnsi="Times New Roman" w:cs="Times New Roman"/>
          <w:sz w:val="24"/>
          <w:szCs w:val="24"/>
          <w:lang w:val="en-GB"/>
        </w:rPr>
        <w:t>r of the liquid was changed to blue. The concentration of the human 25-OHD in the sample was positively correlated. The vitamin D concentrations in sera were determined from the standard curve.</w:t>
      </w:r>
    </w:p>
    <w:p w14:paraId="2E2D8B3A" w14:textId="35BA01AD" w:rsidR="00286E7D" w:rsidRPr="00497376" w:rsidRDefault="00286E7D" w:rsidP="00286E7D">
      <w:pPr>
        <w:spacing w:line="480" w:lineRule="auto"/>
        <w:jc w:val="both"/>
        <w:rPr>
          <w:rFonts w:ascii="Times New Roman" w:eastAsia="Calibri" w:hAnsi="Times New Roman" w:cs="Times New Roman"/>
          <w:i/>
          <w:iCs/>
          <w:sz w:val="24"/>
          <w:szCs w:val="24"/>
          <w:lang w:val="en-GB"/>
        </w:rPr>
      </w:pPr>
      <w:r w:rsidRPr="00497376">
        <w:rPr>
          <w:rFonts w:ascii="Times New Roman" w:eastAsia="Calibri" w:hAnsi="Times New Roman" w:cs="Times New Roman"/>
          <w:i/>
          <w:iCs/>
          <w:sz w:val="24"/>
          <w:szCs w:val="24"/>
          <w:lang w:val="en-GB"/>
        </w:rPr>
        <w:t xml:space="preserve">Statistical </w:t>
      </w:r>
      <w:r w:rsidR="00497376" w:rsidRPr="00497376">
        <w:rPr>
          <w:rFonts w:ascii="Times New Roman" w:eastAsia="Calibri" w:hAnsi="Times New Roman" w:cs="Times New Roman"/>
          <w:i/>
          <w:iCs/>
          <w:sz w:val="24"/>
          <w:szCs w:val="24"/>
          <w:lang w:val="en-GB"/>
        </w:rPr>
        <w:t>Methods</w:t>
      </w:r>
    </w:p>
    <w:p w14:paraId="2442F7DB" w14:textId="66CC281F" w:rsidR="00286E7D" w:rsidRPr="008272D7" w:rsidRDefault="00286E7D" w:rsidP="00286E7D">
      <w:pPr>
        <w:spacing w:line="480" w:lineRule="auto"/>
        <w:ind w:firstLine="720"/>
        <w:jc w:val="both"/>
        <w:rPr>
          <w:rFonts w:ascii="Times New Roman" w:eastAsia="Calibri" w:hAnsi="Times New Roman" w:cs="Times New Roman"/>
          <w:sz w:val="24"/>
          <w:szCs w:val="24"/>
          <w:lang w:val="en-GB"/>
        </w:rPr>
      </w:pPr>
      <w:r w:rsidRPr="008272D7">
        <w:rPr>
          <w:rFonts w:ascii="Times New Roman" w:eastAsia="Calibri" w:hAnsi="Times New Roman" w:cs="Times New Roman"/>
          <w:sz w:val="24"/>
          <w:szCs w:val="24"/>
          <w:lang w:val="en-GB"/>
        </w:rPr>
        <w:t>Data were statistically described in terms of mean</w:t>
      </w:r>
      <w:r w:rsidR="00497376">
        <w:rPr>
          <w:rFonts w:ascii="Times New Roman" w:eastAsia="Calibri" w:hAnsi="Times New Roman" w:cs="Times New Roman"/>
          <w:sz w:val="24"/>
          <w:szCs w:val="24"/>
          <w:lang w:val="en-GB"/>
        </w:rPr>
        <w:t xml:space="preserve">s </w:t>
      </w:r>
      <w:r w:rsidRPr="008272D7">
        <w:rPr>
          <w:rFonts w:ascii="Times New Roman" w:eastAsia="Calibri" w:hAnsi="Times New Roman" w:cs="Times New Roman"/>
          <w:lang w:val="en-GB"/>
        </w:rPr>
        <w:t>±</w:t>
      </w:r>
      <w:r w:rsidR="00497376">
        <w:rPr>
          <w:rFonts w:ascii="Times New Roman" w:eastAsia="Calibri" w:hAnsi="Times New Roman" w:cs="Times New Roman"/>
          <w:lang w:val="en-GB"/>
        </w:rPr>
        <w:t xml:space="preserve"> </w:t>
      </w:r>
      <w:r w:rsidRPr="008272D7">
        <w:rPr>
          <w:rFonts w:ascii="Times New Roman" w:eastAsia="Calibri" w:hAnsi="Times New Roman" w:cs="Times New Roman"/>
          <w:sz w:val="24"/>
          <w:szCs w:val="24"/>
          <w:lang w:val="en-GB"/>
        </w:rPr>
        <w:t>standard deviation, median and range, or frequencies (number of cases) and percentages when appropriate. Comparison of numerical variables between the study groups was done using Student</w:t>
      </w:r>
      <w:r w:rsidR="000A3184">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 xml:space="preserve"> </w:t>
      </w:r>
      <w:r w:rsidRPr="000A3184">
        <w:rPr>
          <w:rFonts w:ascii="Times New Roman" w:eastAsia="Calibri" w:hAnsi="Times New Roman" w:cs="Times New Roman"/>
          <w:i/>
          <w:sz w:val="24"/>
          <w:szCs w:val="24"/>
          <w:lang w:val="en-GB"/>
        </w:rPr>
        <w:t>t</w:t>
      </w:r>
      <w:r w:rsidRPr="008272D7">
        <w:rPr>
          <w:rFonts w:ascii="Times New Roman" w:eastAsia="Calibri" w:hAnsi="Times New Roman" w:cs="Times New Roman"/>
          <w:sz w:val="24"/>
          <w:szCs w:val="24"/>
          <w:lang w:val="en-GB"/>
        </w:rPr>
        <w:t xml:space="preserve"> test for independent samples in comparing normally distributed data and </w:t>
      </w:r>
      <w:r w:rsidR="000A3184">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Mann</w:t>
      </w:r>
      <w:r w:rsidR="000A3184">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Whitney U test for independent samples for comparing no</w:t>
      </w:r>
      <w:r w:rsidR="000A3184">
        <w:rPr>
          <w:rFonts w:ascii="Times New Roman" w:eastAsia="Calibri" w:hAnsi="Times New Roman" w:cs="Times New Roman"/>
          <w:sz w:val="24"/>
          <w:szCs w:val="24"/>
          <w:lang w:val="en-GB"/>
        </w:rPr>
        <w:t>n</w:t>
      </w:r>
      <w:r w:rsidRPr="008272D7">
        <w:rPr>
          <w:rFonts w:ascii="Times New Roman" w:eastAsia="Calibri" w:hAnsi="Times New Roman" w:cs="Times New Roman"/>
          <w:sz w:val="24"/>
          <w:szCs w:val="24"/>
          <w:lang w:val="en-GB"/>
        </w:rPr>
        <w:t xml:space="preserve">-normal data. For comparing categorical data, </w:t>
      </w:r>
      <w:r w:rsidR="000A3184">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sym w:font="Symbol" w:char="F063"/>
      </w:r>
      <w:r w:rsidRPr="008272D7">
        <w:rPr>
          <w:rFonts w:ascii="Times New Roman" w:eastAsia="Calibri" w:hAnsi="Times New Roman" w:cs="Times New Roman"/>
          <w:sz w:val="24"/>
          <w:szCs w:val="24"/>
          <w:vertAlign w:val="superscript"/>
          <w:lang w:val="en-GB"/>
        </w:rPr>
        <w:t>2</w:t>
      </w:r>
      <w:r w:rsidRPr="008272D7">
        <w:rPr>
          <w:rFonts w:ascii="Times New Roman" w:eastAsia="Calibri" w:hAnsi="Times New Roman" w:cs="Times New Roman"/>
          <w:sz w:val="24"/>
          <w:szCs w:val="24"/>
          <w:lang w:val="en-GB"/>
        </w:rPr>
        <w:t xml:space="preserve"> test was performed. </w:t>
      </w:r>
      <w:r w:rsidR="000A3184">
        <w:rPr>
          <w:rFonts w:ascii="Times New Roman" w:eastAsia="Calibri" w:hAnsi="Times New Roman" w:cs="Times New Roman"/>
          <w:sz w:val="24"/>
          <w:szCs w:val="24"/>
          <w:lang w:val="en-GB"/>
        </w:rPr>
        <w:t xml:space="preserve">Fisher’s </w:t>
      </w:r>
      <w:r w:rsidR="000A3184" w:rsidRPr="008272D7">
        <w:rPr>
          <w:rFonts w:ascii="Times New Roman" w:eastAsia="Calibri" w:hAnsi="Times New Roman" w:cs="Times New Roman"/>
          <w:sz w:val="24"/>
          <w:szCs w:val="24"/>
          <w:lang w:val="en-GB"/>
        </w:rPr>
        <w:t>e</w:t>
      </w:r>
      <w:r w:rsidRPr="008272D7">
        <w:rPr>
          <w:rFonts w:ascii="Times New Roman" w:eastAsia="Calibri" w:hAnsi="Times New Roman" w:cs="Times New Roman"/>
          <w:sz w:val="24"/>
          <w:szCs w:val="24"/>
          <w:lang w:val="en-GB"/>
        </w:rPr>
        <w:t xml:space="preserve">xact test was used instead when the expected frequency </w:t>
      </w:r>
      <w:r w:rsidR="00DB1611">
        <w:rPr>
          <w:rFonts w:ascii="Times New Roman" w:eastAsia="Calibri" w:hAnsi="Times New Roman" w:cs="Times New Roman"/>
          <w:sz w:val="24"/>
          <w:szCs w:val="24"/>
          <w:lang w:val="en-GB"/>
        </w:rPr>
        <w:t>was</w:t>
      </w:r>
      <w:r w:rsidRPr="008272D7">
        <w:rPr>
          <w:rFonts w:ascii="Times New Roman" w:eastAsia="Calibri" w:hAnsi="Times New Roman" w:cs="Times New Roman"/>
          <w:sz w:val="24"/>
          <w:szCs w:val="24"/>
          <w:lang w:val="en-GB"/>
        </w:rPr>
        <w:t xml:space="preserve"> less than 5. Correlation between various variables was done using Pearson</w:t>
      </w:r>
      <w:r w:rsidR="00DB1611">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 xml:space="preserve"> moment correlation equation for linear relation of normally distributed variables and Spearman</w:t>
      </w:r>
      <w:r w:rsidR="00DB1611">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 xml:space="preserve"> rank correlation equation for non-normal variables/non-linear monotonic relation. Accuracy was represented using the terms sensitivity and specificity. Receiver</w:t>
      </w:r>
      <w:r w:rsidR="00DB1611">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operat</w:t>
      </w:r>
      <w:r w:rsidR="00DB1611">
        <w:rPr>
          <w:rFonts w:ascii="Times New Roman" w:eastAsia="Calibri" w:hAnsi="Times New Roman" w:cs="Times New Roman"/>
          <w:sz w:val="24"/>
          <w:szCs w:val="24"/>
          <w:lang w:val="en-GB"/>
        </w:rPr>
        <w:t>ing</w:t>
      </w:r>
      <w:r w:rsidRPr="008272D7">
        <w:rPr>
          <w:rFonts w:ascii="Times New Roman" w:eastAsia="Calibri" w:hAnsi="Times New Roman" w:cs="Times New Roman"/>
          <w:sz w:val="24"/>
          <w:szCs w:val="24"/>
          <w:lang w:val="en-GB"/>
        </w:rPr>
        <w:t xml:space="preserve"> characteristic analysis was used to determine the optimum cut</w:t>
      </w:r>
      <w:r w:rsidR="00DB1611">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off value for the studied diagnostic markers. </w:t>
      </w:r>
      <w:r w:rsidR="00DB1611" w:rsidRPr="00DB1611">
        <w:rPr>
          <w:rFonts w:ascii="Times New Roman" w:eastAsia="Calibri" w:hAnsi="Times New Roman" w:cs="Times New Roman"/>
          <w:i/>
          <w:sz w:val="24"/>
          <w:szCs w:val="24"/>
          <w:lang w:val="en-GB"/>
        </w:rPr>
        <w:t>p</w:t>
      </w:r>
      <w:r w:rsidRPr="008272D7">
        <w:rPr>
          <w:rFonts w:ascii="Times New Roman" w:eastAsia="Calibri" w:hAnsi="Times New Roman" w:cs="Times New Roman"/>
          <w:sz w:val="24"/>
          <w:szCs w:val="24"/>
          <w:lang w:val="en-GB"/>
        </w:rPr>
        <w:t xml:space="preserve"> values less than 0.05 were considered </w:t>
      </w:r>
      <w:r w:rsidR="00DB1611">
        <w:rPr>
          <w:rFonts w:ascii="Times New Roman" w:eastAsia="Calibri" w:hAnsi="Times New Roman" w:cs="Times New Roman"/>
          <w:sz w:val="24"/>
          <w:szCs w:val="24"/>
          <w:lang w:val="en-GB"/>
        </w:rPr>
        <w:t xml:space="preserve">as </w:t>
      </w:r>
      <w:r w:rsidRPr="008272D7">
        <w:rPr>
          <w:rFonts w:ascii="Times New Roman" w:eastAsia="Calibri" w:hAnsi="Times New Roman" w:cs="Times New Roman"/>
          <w:sz w:val="24"/>
          <w:szCs w:val="24"/>
          <w:lang w:val="en-GB"/>
        </w:rPr>
        <w:t xml:space="preserve">statistically significant. All statistical calculations were done using </w:t>
      </w:r>
      <w:r w:rsidR="00DB1611">
        <w:rPr>
          <w:rFonts w:ascii="Times New Roman" w:eastAsia="Calibri" w:hAnsi="Times New Roman" w:cs="Times New Roman"/>
          <w:sz w:val="24"/>
          <w:szCs w:val="24"/>
          <w:lang w:val="en-GB"/>
        </w:rPr>
        <w:t xml:space="preserve">the </w:t>
      </w:r>
      <w:r w:rsidRPr="008272D7">
        <w:rPr>
          <w:rFonts w:ascii="Times New Roman" w:eastAsia="Calibri" w:hAnsi="Times New Roman" w:cs="Times New Roman"/>
          <w:sz w:val="24"/>
          <w:szCs w:val="24"/>
          <w:lang w:val="en-GB"/>
        </w:rPr>
        <w:t>computer program IBM SPSS (Statistical Package for the Social Science</w:t>
      </w:r>
      <w:r w:rsidR="00DB1611">
        <w:rPr>
          <w:rFonts w:ascii="Times New Roman" w:eastAsia="Calibri" w:hAnsi="Times New Roman" w:cs="Times New Roman"/>
          <w:sz w:val="24"/>
          <w:szCs w:val="24"/>
          <w:lang w:val="en-GB"/>
        </w:rPr>
        <w:t>s</w:t>
      </w:r>
      <w:r w:rsidRPr="008272D7">
        <w:rPr>
          <w:rFonts w:ascii="Times New Roman" w:eastAsia="Calibri" w:hAnsi="Times New Roman" w:cs="Times New Roman"/>
          <w:sz w:val="24"/>
          <w:szCs w:val="24"/>
          <w:lang w:val="en-GB"/>
        </w:rPr>
        <w:t>; IBM Corp</w:t>
      </w:r>
      <w:r w:rsidR="00DB1611">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Armonk, NY, USA)</w:t>
      </w:r>
      <w:r w:rsidR="00DB1611">
        <w:rPr>
          <w:rFonts w:ascii="Times New Roman" w:eastAsia="Calibri" w:hAnsi="Times New Roman" w:cs="Times New Roman"/>
          <w:sz w:val="24"/>
          <w:szCs w:val="24"/>
          <w:lang w:val="en-GB"/>
        </w:rPr>
        <w:t>,</w:t>
      </w:r>
      <w:r w:rsidRPr="008272D7">
        <w:rPr>
          <w:rFonts w:ascii="Times New Roman" w:eastAsia="Calibri" w:hAnsi="Times New Roman" w:cs="Times New Roman"/>
          <w:sz w:val="24"/>
          <w:szCs w:val="24"/>
          <w:lang w:val="en-GB"/>
        </w:rPr>
        <w:t xml:space="preserve"> release 22 for Microsoft Windows.</w:t>
      </w:r>
    </w:p>
    <w:p w14:paraId="382B407C" w14:textId="77777777" w:rsidR="00286E7D" w:rsidRPr="008272D7" w:rsidRDefault="00286E7D" w:rsidP="00286E7D">
      <w:pPr>
        <w:spacing w:before="120" w:after="120" w:line="480" w:lineRule="auto"/>
        <w:jc w:val="both"/>
        <w:rPr>
          <w:rFonts w:ascii="Times New Roman" w:eastAsia="Times New Roman" w:hAnsi="Times New Roman" w:cs="Times New Roman"/>
          <w:b/>
          <w:bCs/>
          <w:sz w:val="24"/>
          <w:szCs w:val="24"/>
          <w:lang w:val="en-GB"/>
        </w:rPr>
      </w:pPr>
    </w:p>
    <w:p w14:paraId="6E55AA2A" w14:textId="77777777" w:rsidR="00947BCC" w:rsidRPr="008272D7" w:rsidRDefault="00947BCC" w:rsidP="00286E7D">
      <w:pPr>
        <w:rPr>
          <w:lang w:val="en-GB"/>
        </w:rPr>
      </w:pPr>
    </w:p>
    <w:sectPr w:rsidR="00947BCC" w:rsidRPr="008272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078DB" w14:textId="77777777" w:rsidR="0090496F" w:rsidRDefault="0090496F" w:rsidP="009569CE">
      <w:pPr>
        <w:spacing w:after="0" w:line="240" w:lineRule="auto"/>
      </w:pPr>
      <w:r>
        <w:separator/>
      </w:r>
    </w:p>
  </w:endnote>
  <w:endnote w:type="continuationSeparator" w:id="0">
    <w:p w14:paraId="7B48F96D" w14:textId="77777777" w:rsidR="0090496F" w:rsidRDefault="0090496F" w:rsidP="0095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D07C" w14:textId="77777777" w:rsidR="009569CE" w:rsidRDefault="009569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267586"/>
      <w:docPartObj>
        <w:docPartGallery w:val="Page Numbers (Bottom of Page)"/>
        <w:docPartUnique/>
      </w:docPartObj>
    </w:sdtPr>
    <w:sdtEndPr>
      <w:rPr>
        <w:noProof/>
      </w:rPr>
    </w:sdtEndPr>
    <w:sdtContent>
      <w:p w14:paraId="4E6AC760" w14:textId="77777777" w:rsidR="009569CE" w:rsidRDefault="009569CE">
        <w:pPr>
          <w:pStyle w:val="Fuzeile"/>
          <w:jc w:val="center"/>
        </w:pPr>
        <w:r>
          <w:fldChar w:fldCharType="begin"/>
        </w:r>
        <w:r>
          <w:instrText xml:space="preserve"> PAGE   \* MERGEFORMAT </w:instrText>
        </w:r>
        <w:r>
          <w:fldChar w:fldCharType="separate"/>
        </w:r>
        <w:r w:rsidR="00347739">
          <w:rPr>
            <w:noProof/>
          </w:rPr>
          <w:t>4</w:t>
        </w:r>
        <w:r>
          <w:rPr>
            <w:noProof/>
          </w:rPr>
          <w:fldChar w:fldCharType="end"/>
        </w:r>
      </w:p>
    </w:sdtContent>
  </w:sdt>
  <w:p w14:paraId="716F7C3F" w14:textId="77777777" w:rsidR="009569CE" w:rsidRDefault="009569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6E8A" w14:textId="77777777" w:rsidR="009569CE" w:rsidRDefault="00956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E4A9" w14:textId="77777777" w:rsidR="0090496F" w:rsidRDefault="0090496F" w:rsidP="009569CE">
      <w:pPr>
        <w:spacing w:after="0" w:line="240" w:lineRule="auto"/>
      </w:pPr>
      <w:r>
        <w:separator/>
      </w:r>
    </w:p>
  </w:footnote>
  <w:footnote w:type="continuationSeparator" w:id="0">
    <w:p w14:paraId="02FD4AA5" w14:textId="77777777" w:rsidR="0090496F" w:rsidRDefault="0090496F" w:rsidP="0095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6356" w14:textId="77777777" w:rsidR="009569CE" w:rsidRDefault="009569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EA4E" w14:textId="77777777" w:rsidR="009569CE" w:rsidRDefault="009569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ED5D" w14:textId="77777777" w:rsidR="009569CE" w:rsidRDefault="009569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2B16"/>
    <w:multiLevelType w:val="hybridMultilevel"/>
    <w:tmpl w:val="34A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8465E"/>
    <w:multiLevelType w:val="hybridMultilevel"/>
    <w:tmpl w:val="9FC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04CB"/>
    <w:multiLevelType w:val="multilevel"/>
    <w:tmpl w:val="08B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B2F5E"/>
    <w:multiLevelType w:val="multilevel"/>
    <w:tmpl w:val="E63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F41C9"/>
    <w:multiLevelType w:val="hybridMultilevel"/>
    <w:tmpl w:val="56F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B60F1"/>
    <w:multiLevelType w:val="hybridMultilevel"/>
    <w:tmpl w:val="4F0AA492"/>
    <w:lvl w:ilvl="0" w:tplc="9CE0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7F6"/>
    <w:rsid w:val="000209B5"/>
    <w:rsid w:val="00023F34"/>
    <w:rsid w:val="000368B3"/>
    <w:rsid w:val="000515D3"/>
    <w:rsid w:val="0007442A"/>
    <w:rsid w:val="000A1E60"/>
    <w:rsid w:val="000A263D"/>
    <w:rsid w:val="000A3184"/>
    <w:rsid w:val="000C507D"/>
    <w:rsid w:val="00163CCA"/>
    <w:rsid w:val="00180DFD"/>
    <w:rsid w:val="00182431"/>
    <w:rsid w:val="001D19C6"/>
    <w:rsid w:val="001D7334"/>
    <w:rsid w:val="00224A1B"/>
    <w:rsid w:val="00226D0B"/>
    <w:rsid w:val="00231C6F"/>
    <w:rsid w:val="00265D94"/>
    <w:rsid w:val="00286E7D"/>
    <w:rsid w:val="002B2F94"/>
    <w:rsid w:val="002D1CC8"/>
    <w:rsid w:val="002D433C"/>
    <w:rsid w:val="002E691B"/>
    <w:rsid w:val="002E7F27"/>
    <w:rsid w:val="0030261D"/>
    <w:rsid w:val="00306B11"/>
    <w:rsid w:val="00311735"/>
    <w:rsid w:val="00313FFC"/>
    <w:rsid w:val="003267D0"/>
    <w:rsid w:val="00347739"/>
    <w:rsid w:val="003928A6"/>
    <w:rsid w:val="003A6DB1"/>
    <w:rsid w:val="003D657B"/>
    <w:rsid w:val="003F1933"/>
    <w:rsid w:val="003F7C84"/>
    <w:rsid w:val="00426C16"/>
    <w:rsid w:val="004418AF"/>
    <w:rsid w:val="0045443C"/>
    <w:rsid w:val="00473F4F"/>
    <w:rsid w:val="004944BD"/>
    <w:rsid w:val="00497376"/>
    <w:rsid w:val="00497CF2"/>
    <w:rsid w:val="004B19E5"/>
    <w:rsid w:val="004B30E9"/>
    <w:rsid w:val="004D54B9"/>
    <w:rsid w:val="004F4517"/>
    <w:rsid w:val="004F6707"/>
    <w:rsid w:val="00500622"/>
    <w:rsid w:val="00547C91"/>
    <w:rsid w:val="005535A4"/>
    <w:rsid w:val="005609F2"/>
    <w:rsid w:val="0058165E"/>
    <w:rsid w:val="00597CA1"/>
    <w:rsid w:val="005A5B97"/>
    <w:rsid w:val="005E5979"/>
    <w:rsid w:val="00604B75"/>
    <w:rsid w:val="006050FF"/>
    <w:rsid w:val="006A467A"/>
    <w:rsid w:val="006C13FA"/>
    <w:rsid w:val="006D4EE7"/>
    <w:rsid w:val="006E23A5"/>
    <w:rsid w:val="006F5CBE"/>
    <w:rsid w:val="00703155"/>
    <w:rsid w:val="0071453C"/>
    <w:rsid w:val="0071665F"/>
    <w:rsid w:val="00786B96"/>
    <w:rsid w:val="0078707C"/>
    <w:rsid w:val="00792B59"/>
    <w:rsid w:val="007B6639"/>
    <w:rsid w:val="007F54F6"/>
    <w:rsid w:val="008272D7"/>
    <w:rsid w:val="00841699"/>
    <w:rsid w:val="00857605"/>
    <w:rsid w:val="00860381"/>
    <w:rsid w:val="00897F87"/>
    <w:rsid w:val="008A1CC4"/>
    <w:rsid w:val="008B60A3"/>
    <w:rsid w:val="008C2BC7"/>
    <w:rsid w:val="008D47E1"/>
    <w:rsid w:val="0090496F"/>
    <w:rsid w:val="00910AB7"/>
    <w:rsid w:val="00947BCC"/>
    <w:rsid w:val="009569CE"/>
    <w:rsid w:val="009666F9"/>
    <w:rsid w:val="00984515"/>
    <w:rsid w:val="009852F7"/>
    <w:rsid w:val="0099327A"/>
    <w:rsid w:val="009E6358"/>
    <w:rsid w:val="009F49D4"/>
    <w:rsid w:val="00A76B68"/>
    <w:rsid w:val="00A87368"/>
    <w:rsid w:val="00AA091B"/>
    <w:rsid w:val="00AD4A00"/>
    <w:rsid w:val="00AD5EF7"/>
    <w:rsid w:val="00B237AA"/>
    <w:rsid w:val="00B3545B"/>
    <w:rsid w:val="00B92B09"/>
    <w:rsid w:val="00BB300C"/>
    <w:rsid w:val="00C057AA"/>
    <w:rsid w:val="00C301DA"/>
    <w:rsid w:val="00C30AA6"/>
    <w:rsid w:val="00C66782"/>
    <w:rsid w:val="00C67064"/>
    <w:rsid w:val="00C737E1"/>
    <w:rsid w:val="00C75F75"/>
    <w:rsid w:val="00C83684"/>
    <w:rsid w:val="00C83AF0"/>
    <w:rsid w:val="00CC1E48"/>
    <w:rsid w:val="00CC55F3"/>
    <w:rsid w:val="00CC5E99"/>
    <w:rsid w:val="00CE6673"/>
    <w:rsid w:val="00D32725"/>
    <w:rsid w:val="00D5063E"/>
    <w:rsid w:val="00D7030D"/>
    <w:rsid w:val="00D8636B"/>
    <w:rsid w:val="00DA4FED"/>
    <w:rsid w:val="00DB1611"/>
    <w:rsid w:val="00DE7BBD"/>
    <w:rsid w:val="00E25EFE"/>
    <w:rsid w:val="00E31653"/>
    <w:rsid w:val="00E50596"/>
    <w:rsid w:val="00E557F6"/>
    <w:rsid w:val="00E72C65"/>
    <w:rsid w:val="00E82F38"/>
    <w:rsid w:val="00EC5B60"/>
    <w:rsid w:val="00ED120F"/>
    <w:rsid w:val="00EE4ADA"/>
    <w:rsid w:val="00EF0204"/>
    <w:rsid w:val="00EF3FA7"/>
    <w:rsid w:val="00F0411E"/>
    <w:rsid w:val="00F10CA4"/>
    <w:rsid w:val="00F253D7"/>
    <w:rsid w:val="00F314CF"/>
    <w:rsid w:val="00F72C0E"/>
    <w:rsid w:val="00F851D2"/>
    <w:rsid w:val="00F86C4F"/>
    <w:rsid w:val="00FC6E84"/>
    <w:rsid w:val="00FD3337"/>
    <w:rsid w:val="00FE6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EF9A"/>
  <w15:docId w15:val="{78FA15F1-42F5-47D2-833F-29BA1DFB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1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60A3"/>
    <w:pPr>
      <w:ind w:left="720"/>
      <w:contextualSpacing/>
    </w:pPr>
  </w:style>
  <w:style w:type="paragraph" w:styleId="Sprechblasentext">
    <w:name w:val="Balloon Text"/>
    <w:basedOn w:val="Standard"/>
    <w:link w:val="SprechblasentextZchn"/>
    <w:uiPriority w:val="99"/>
    <w:semiHidden/>
    <w:unhideWhenUsed/>
    <w:rsid w:val="00B354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45B"/>
    <w:rPr>
      <w:rFonts w:ascii="Tahoma" w:hAnsi="Tahoma" w:cs="Tahoma"/>
      <w:sz w:val="16"/>
      <w:szCs w:val="16"/>
    </w:rPr>
  </w:style>
  <w:style w:type="table" w:customStyle="1" w:styleId="TableGrid">
    <w:name w:val="TableGrid"/>
    <w:rsid w:val="00163CCA"/>
    <w:pPr>
      <w:spacing w:after="0" w:line="240" w:lineRule="auto"/>
    </w:pPr>
    <w:rPr>
      <w:rFonts w:eastAsia="Times New Roman"/>
    </w:rPr>
    <w:tblPr>
      <w:tblCellMar>
        <w:top w:w="0" w:type="dxa"/>
        <w:left w:w="0" w:type="dxa"/>
        <w:bottom w:w="0" w:type="dxa"/>
        <w:right w:w="0" w:type="dxa"/>
      </w:tblCellMar>
    </w:tblPr>
  </w:style>
  <w:style w:type="paragraph" w:customStyle="1" w:styleId="Default">
    <w:name w:val="Default"/>
    <w:rsid w:val="00306B11"/>
    <w:pPr>
      <w:autoSpaceDE w:val="0"/>
      <w:autoSpaceDN w:val="0"/>
      <w:adjustRightInd w:val="0"/>
      <w:spacing w:after="0" w:line="240" w:lineRule="auto"/>
    </w:pPr>
    <w:rPr>
      <w:rFonts w:ascii="Myriad Pro" w:hAnsi="Myriad Pro" w:cs="Myriad Pro"/>
      <w:color w:val="000000"/>
      <w:sz w:val="24"/>
      <w:szCs w:val="24"/>
    </w:rPr>
  </w:style>
  <w:style w:type="paragraph" w:styleId="Kopfzeile">
    <w:name w:val="header"/>
    <w:basedOn w:val="Standard"/>
    <w:link w:val="KopfzeileZchn"/>
    <w:uiPriority w:val="99"/>
    <w:unhideWhenUsed/>
    <w:rsid w:val="009569C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569CE"/>
  </w:style>
  <w:style w:type="paragraph" w:styleId="Fuzeile">
    <w:name w:val="footer"/>
    <w:basedOn w:val="Standard"/>
    <w:link w:val="FuzeileZchn"/>
    <w:uiPriority w:val="99"/>
    <w:unhideWhenUsed/>
    <w:rsid w:val="009569C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569CE"/>
  </w:style>
  <w:style w:type="character" w:styleId="Hyperlink">
    <w:name w:val="Hyperlink"/>
    <w:basedOn w:val="Absatz-Standardschriftart"/>
    <w:uiPriority w:val="99"/>
    <w:semiHidden/>
    <w:unhideWhenUsed/>
    <w:rsid w:val="00547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Theresia Lorenz</cp:lastModifiedBy>
  <cp:revision>2</cp:revision>
  <dcterms:created xsi:type="dcterms:W3CDTF">2020-10-08T09:16:00Z</dcterms:created>
  <dcterms:modified xsi:type="dcterms:W3CDTF">2020-10-08T09:16:00Z</dcterms:modified>
</cp:coreProperties>
</file>