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25E7" w14:textId="77777777" w:rsidR="00CF0D58" w:rsidRPr="00771828" w:rsidRDefault="00CF0D58" w:rsidP="00CF0D5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771828">
        <w:rPr>
          <w:rFonts w:ascii="Times New Roman" w:hAnsi="Times New Roman" w:cs="Times New Roman"/>
          <w:b/>
          <w:sz w:val="24"/>
        </w:rPr>
        <w:t>Methods</w:t>
      </w:r>
    </w:p>
    <w:p w14:paraId="0BF88C0F" w14:textId="08369E75" w:rsidR="00CF0D58" w:rsidRPr="00771828" w:rsidRDefault="00CF0D58" w:rsidP="00CF0D58">
      <w:pPr>
        <w:spacing w:line="480" w:lineRule="auto"/>
        <w:rPr>
          <w:rFonts w:ascii="Times New Roman" w:hAnsi="Times New Roman" w:cs="Times New Roman"/>
          <w:b/>
          <w:i/>
          <w:sz w:val="24"/>
        </w:rPr>
      </w:pPr>
      <w:r w:rsidRPr="00771828">
        <w:rPr>
          <w:rFonts w:ascii="Times New Roman" w:hAnsi="Times New Roman" w:cs="Times New Roman"/>
          <w:b/>
          <w:i/>
          <w:sz w:val="24"/>
        </w:rPr>
        <w:t xml:space="preserve">Study </w:t>
      </w:r>
      <w:r w:rsidR="00184A33" w:rsidRPr="00771828">
        <w:rPr>
          <w:rFonts w:ascii="Times New Roman" w:hAnsi="Times New Roman" w:cs="Times New Roman"/>
          <w:b/>
          <w:i/>
          <w:sz w:val="24"/>
        </w:rPr>
        <w:t xml:space="preserve">Design </w:t>
      </w:r>
      <w:r w:rsidRPr="00771828">
        <w:rPr>
          <w:rFonts w:ascii="Times New Roman" w:hAnsi="Times New Roman" w:cs="Times New Roman"/>
          <w:b/>
          <w:i/>
          <w:sz w:val="24"/>
        </w:rPr>
        <w:t>and Patients</w:t>
      </w:r>
    </w:p>
    <w:p w14:paraId="5921D5D1" w14:textId="5B513727" w:rsidR="00CF0D58" w:rsidRPr="00771828" w:rsidRDefault="00CF0D58" w:rsidP="00CF0D58">
      <w:pPr>
        <w:wordWrap/>
        <w:adjustRightInd w:val="0"/>
        <w:spacing w:line="480" w:lineRule="auto"/>
        <w:rPr>
          <w:rFonts w:ascii="Times New Roman" w:hAnsi="Times New Roman" w:cs="Times New Roman"/>
          <w:color w:val="231F20"/>
          <w:kern w:val="0"/>
          <w:sz w:val="24"/>
          <w:szCs w:val="20"/>
        </w:rPr>
      </w:pP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From January 2009 to May 2019, a total of 20 patients were histologically diagnosed as GR </w:t>
      </w:r>
      <w:r w:rsidR="00184A33">
        <w:rPr>
          <w:rFonts w:ascii="Times New Roman" w:hAnsi="Times New Roman" w:cs="Times New Roman"/>
          <w:color w:val="231F20"/>
          <w:kern w:val="0"/>
          <w:sz w:val="24"/>
          <w:szCs w:val="20"/>
        </w:rPr>
        <w:t>at the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Seoul National University Hospital. We retrospectively reviewed medical records, photographs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,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and pathology slides of those 20 patients. Patients who ha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d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clinical features of GR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,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such as </w:t>
      </w:r>
      <w:r w:rsidRPr="00771828">
        <w:rPr>
          <w:rFonts w:ascii="Times New Roman" w:hAnsi="Times New Roman" w:cs="Times New Roman"/>
          <w:sz w:val="24"/>
        </w:rPr>
        <w:t>firm, yellow, red, or skin-colored papules or nodules localized around periorificial areas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or on the lateral sides of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the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face, which 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have been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described in previous articles, were diagnosed as clinically consistent 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with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GR. Patients who ha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d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both clinical characteristics of GR and granulomatous inflammation in histological findings were finally diagnosed as GR. 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Out of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20 patients, 15 cases were both clinically and histologically consistent with GR and were subsequently analyzed to describe clinical and histological characteristics. The differential diagnosis of GR included papulopustular rosacea, perioral dermatitis,</w:t>
      </w:r>
      <w:r w:rsidRPr="00771828">
        <w:rPr>
          <w:rFonts w:ascii="Times New Roman" w:hAnsi="Times New Roman" w:cs="Times New Roman" w:hint="eastAsia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lupus miliaris disseminatus faciei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,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and sarcoidosis. Patients with papulopustular rosacea </w:t>
      </w:r>
      <w:r w:rsidRPr="00771828">
        <w:rPr>
          <w:rFonts w:ascii="Times New Roman" w:hAnsi="Times New Roman" w:cs="Times New Roman" w:hint="eastAsia"/>
          <w:color w:val="231F20"/>
          <w:kern w:val="0"/>
          <w:sz w:val="24"/>
          <w:szCs w:val="20"/>
        </w:rPr>
        <w:t xml:space="preserve">and </w:t>
      </w:r>
      <w:r w:rsidR="00BD48DC"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perioral dermatitis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are distinguished from GR in that they have pustules in addition to papules 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>that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are accompanied by baseline erythema in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the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face. </w:t>
      </w:r>
      <w:r w:rsidR="00BD48DC"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Lupus </w:t>
      </w:r>
      <w:r w:rsidR="00BD48DC"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miliaris disseminatus faciei</w:t>
      </w:r>
      <w:r w:rsidR="00BD48DC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can be similar to GR clinically but it can be differentiated</w:t>
      </w:r>
      <w:r w:rsidRPr="00771828">
        <w:rPr>
          <w:rFonts w:ascii="Times New Roman" w:hAnsi="Times New Roman" w:cs="Times New Roman" w:hint="eastAsia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by caseating granulomas in histology. Sarcoidosis can also present as granulomatous papules</w:t>
      </w:r>
      <w:r w:rsidRPr="00771828">
        <w:rPr>
          <w:rFonts w:ascii="Times New Roman" w:hAnsi="Times New Roman" w:cs="Times New Roman" w:hint="eastAsia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on the face but typically has other extracutaneous</w:t>
      </w:r>
      <w:r w:rsidRPr="00771828">
        <w:rPr>
          <w:rFonts w:ascii="Times New Roman" w:hAnsi="Times New Roman" w:cs="Times New Roman" w:hint="eastAsia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>findings involving pulmonary symptoms.</w:t>
      </w:r>
    </w:p>
    <w:p w14:paraId="02149FE0" w14:textId="77777777" w:rsidR="00CF0D58" w:rsidRPr="00771828" w:rsidRDefault="00CF0D58" w:rsidP="00CF0D58">
      <w:pPr>
        <w:wordWrap/>
        <w:adjustRightInd w:val="0"/>
        <w:spacing w:line="480" w:lineRule="auto"/>
        <w:rPr>
          <w:rFonts w:ascii="Times New Roman" w:hAnsi="Times New Roman" w:cs="Times New Roman"/>
          <w:b/>
          <w:i/>
          <w:color w:val="231F20"/>
          <w:kern w:val="0"/>
          <w:sz w:val="24"/>
          <w:szCs w:val="20"/>
        </w:rPr>
      </w:pPr>
    </w:p>
    <w:p w14:paraId="6C460BE5" w14:textId="153C67C1" w:rsidR="00CF0D58" w:rsidRPr="00771828" w:rsidRDefault="00CF0D58" w:rsidP="00CF0D58">
      <w:pPr>
        <w:wordWrap/>
        <w:adjustRightInd w:val="0"/>
        <w:spacing w:line="480" w:lineRule="auto"/>
        <w:rPr>
          <w:rFonts w:ascii="Times New Roman" w:hAnsi="Times New Roman" w:cs="Times New Roman"/>
          <w:b/>
          <w:i/>
          <w:color w:val="231F20"/>
          <w:kern w:val="0"/>
          <w:sz w:val="24"/>
          <w:szCs w:val="20"/>
        </w:rPr>
      </w:pPr>
      <w:r w:rsidRPr="00771828">
        <w:rPr>
          <w:rFonts w:ascii="Times New Roman" w:hAnsi="Times New Roman" w:cs="Times New Roman"/>
          <w:b/>
          <w:i/>
          <w:color w:val="231F20"/>
          <w:kern w:val="0"/>
          <w:sz w:val="24"/>
          <w:szCs w:val="20"/>
        </w:rPr>
        <w:t xml:space="preserve">Statistical </w:t>
      </w:r>
      <w:r w:rsidR="0061308D" w:rsidRPr="00771828">
        <w:rPr>
          <w:rFonts w:ascii="Times New Roman" w:hAnsi="Times New Roman" w:cs="Times New Roman"/>
          <w:b/>
          <w:i/>
          <w:color w:val="231F20"/>
          <w:kern w:val="0"/>
          <w:sz w:val="24"/>
          <w:szCs w:val="20"/>
        </w:rPr>
        <w:t>Analysis</w:t>
      </w:r>
    </w:p>
    <w:p w14:paraId="564340E3" w14:textId="23B3E9C2" w:rsidR="00CF0D58" w:rsidRPr="00771828" w:rsidRDefault="00CF0D58" w:rsidP="00CF0D58">
      <w:pPr>
        <w:wordWrap/>
        <w:adjustRightInd w:val="0"/>
        <w:spacing w:line="480" w:lineRule="auto"/>
        <w:rPr>
          <w:rFonts w:ascii="Times New Roman" w:hAnsi="Times New Roman" w:cs="Times New Roman"/>
          <w:color w:val="231F20"/>
          <w:kern w:val="0"/>
          <w:sz w:val="24"/>
          <w:szCs w:val="20"/>
        </w:rPr>
      </w:pPr>
      <w:r w:rsidRPr="0077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 characteristics were presented using descriptive statistics with continuous data as mean </w:t>
      </w:r>
      <w:r w:rsidRPr="0077182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± </w:t>
      </w:r>
      <w:r w:rsidRPr="00771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and </w:t>
      </w:r>
      <w:r w:rsidRPr="00771828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categorical data as number (%).</w:t>
      </w:r>
      <w:r w:rsidRPr="00771828">
        <w:rPr>
          <w:rFonts w:ascii="Times New Roman" w:hAnsi="Times New Roman" w:cs="Times New Roman"/>
          <w:color w:val="231F20"/>
          <w:kern w:val="0"/>
          <w:sz w:val="24"/>
          <w:szCs w:val="20"/>
        </w:rPr>
        <w:t xml:space="preserve"> </w:t>
      </w:r>
      <w:r w:rsidRPr="00771828">
        <w:rPr>
          <w:rFonts w:ascii="Times New Roman" w:hAnsi="Times New Roman" w:cs="Times New Roman"/>
          <w:sz w:val="24"/>
        </w:rPr>
        <w:t>We also analyzed the treatment response by comparing photographs of the first visit and the last follow</w:t>
      </w:r>
      <w:r w:rsidR="00E466D2">
        <w:rPr>
          <w:rFonts w:ascii="Times New Roman" w:hAnsi="Times New Roman" w:cs="Times New Roman"/>
          <w:sz w:val="24"/>
        </w:rPr>
        <w:t>-</w:t>
      </w:r>
      <w:r w:rsidRPr="00771828">
        <w:rPr>
          <w:rFonts w:ascii="Times New Roman" w:hAnsi="Times New Roman" w:cs="Times New Roman"/>
          <w:sz w:val="24"/>
        </w:rPr>
        <w:t xml:space="preserve">up visit of each patient and divided them into 2 groups: improved and not improved. 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Categorical variables such as sex, granulomatous pattern, treatment modalities</w:t>
      </w:r>
      <w:r w:rsidR="00E466D2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,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and treatment duration were compared using</w:t>
      </w:r>
      <w:r w:rsidR="00E466D2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the χ</w:t>
      </w:r>
      <w:r w:rsidR="00E466D2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test or Fisher’s exact test to figure out the association with the treatment response. All 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lastRenderedPageBreak/>
        <w:t>comparative analyses were performed using SPSS (version 25.0</w:t>
      </w:r>
      <w:r w:rsidR="009E2C7A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;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Chicago, IL, USA). </w:t>
      </w:r>
      <w:r w:rsidR="009E2C7A" w:rsidRPr="00771828">
        <w:rPr>
          <w:rFonts w:ascii="Times New Roman" w:eastAsia="Malgun Gothic" w:hAnsi="Times New Roman" w:cs="Times New Roman"/>
          <w:i/>
          <w:color w:val="000000" w:themeColor="text1"/>
          <w:kern w:val="0"/>
          <w:sz w:val="24"/>
          <w:szCs w:val="24"/>
        </w:rPr>
        <w:t xml:space="preserve">p 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value</w:t>
      </w:r>
      <w:r w:rsidR="009E2C7A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s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&lt;0.05 w</w:t>
      </w:r>
      <w:r w:rsidR="009E2C7A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ere 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>considered</w:t>
      </w:r>
      <w:r w:rsidR="008927CF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to be</w:t>
      </w:r>
      <w:r w:rsidRPr="00771828">
        <w:rPr>
          <w:rFonts w:ascii="Times New Roman" w:eastAsia="Malgun Gothic" w:hAnsi="Times New Roman" w:cs="Times New Roman"/>
          <w:color w:val="000000" w:themeColor="text1"/>
          <w:kern w:val="0"/>
          <w:sz w:val="24"/>
          <w:szCs w:val="24"/>
        </w:rPr>
        <w:t xml:space="preserve"> statistically significant.</w:t>
      </w:r>
    </w:p>
    <w:p w14:paraId="13C59F20" w14:textId="77777777" w:rsidR="00971C7E" w:rsidRDefault="00971C7E"/>
    <w:sectPr w:rsidR="00971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58"/>
    <w:rsid w:val="00184A33"/>
    <w:rsid w:val="0061308D"/>
    <w:rsid w:val="008927CF"/>
    <w:rsid w:val="00971C7E"/>
    <w:rsid w:val="009E2C7A"/>
    <w:rsid w:val="00BD48DC"/>
    <w:rsid w:val="00CF0D58"/>
    <w:rsid w:val="00E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213A2"/>
  <w15:chartTrackingRefBased/>
  <w15:docId w15:val="{71E29CAC-DEB6-43AB-AEF9-E68860B9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D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Saskia Fragale</cp:lastModifiedBy>
  <cp:revision>9</cp:revision>
  <dcterms:created xsi:type="dcterms:W3CDTF">2020-08-06T13:49:00Z</dcterms:created>
  <dcterms:modified xsi:type="dcterms:W3CDTF">2020-09-29T06:48:00Z</dcterms:modified>
</cp:coreProperties>
</file>