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7F" w:rsidRDefault="00B87757">
      <w:r>
        <w:t>Supplemental Table 1.</w:t>
      </w:r>
      <w:r w:rsidR="00A9157F">
        <w:t xml:space="preserve"> </w:t>
      </w:r>
    </w:p>
    <w:p w:rsidR="00B87757" w:rsidRDefault="00A9157F">
      <w:r>
        <w:t xml:space="preserve">Diagnoses and </w:t>
      </w:r>
      <w:r w:rsidRPr="00A9157F">
        <w:t>the International Classification of Diseases, Tenth Revision code (ICD-10 code)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105"/>
      </w:tblGrid>
      <w:tr w:rsidR="00B87757" w:rsidTr="002559AA">
        <w:tc>
          <w:tcPr>
            <w:tcW w:w="2965" w:type="dxa"/>
            <w:tcBorders>
              <w:top w:val="single" w:sz="4" w:space="0" w:color="auto"/>
              <w:bottom w:val="single" w:sz="4" w:space="0" w:color="auto"/>
            </w:tcBorders>
          </w:tcPr>
          <w:p w:rsidR="00B87757" w:rsidRDefault="00B87757">
            <w:r>
              <w:t>Diagnoses</w:t>
            </w:r>
          </w:p>
        </w:tc>
        <w:tc>
          <w:tcPr>
            <w:tcW w:w="7105" w:type="dxa"/>
            <w:tcBorders>
              <w:top w:val="single" w:sz="4" w:space="0" w:color="auto"/>
              <w:bottom w:val="single" w:sz="4" w:space="0" w:color="auto"/>
            </w:tcBorders>
          </w:tcPr>
          <w:p w:rsidR="00B87757" w:rsidRDefault="00121314">
            <w:r>
              <w:t xml:space="preserve">Lists of </w:t>
            </w:r>
            <w:r w:rsidR="00B87757">
              <w:t>ICD-10 code</w:t>
            </w:r>
          </w:p>
        </w:tc>
      </w:tr>
      <w:tr w:rsidR="00817653" w:rsidTr="002559AA">
        <w:tc>
          <w:tcPr>
            <w:tcW w:w="2965" w:type="dxa"/>
            <w:tcBorders>
              <w:top w:val="single" w:sz="4" w:space="0" w:color="auto"/>
              <w:bottom w:val="single" w:sz="4" w:space="0" w:color="auto"/>
            </w:tcBorders>
          </w:tcPr>
          <w:p w:rsidR="00817653" w:rsidRDefault="00817653">
            <w:r>
              <w:t>Inclusion criteria</w:t>
            </w:r>
          </w:p>
        </w:tc>
        <w:tc>
          <w:tcPr>
            <w:tcW w:w="7105" w:type="dxa"/>
            <w:tcBorders>
              <w:top w:val="single" w:sz="4" w:space="0" w:color="auto"/>
              <w:bottom w:val="single" w:sz="4" w:space="0" w:color="auto"/>
            </w:tcBorders>
          </w:tcPr>
          <w:p w:rsidR="00817653" w:rsidRDefault="00817653"/>
        </w:tc>
      </w:tr>
      <w:tr w:rsidR="00B87757" w:rsidTr="002559AA">
        <w:tc>
          <w:tcPr>
            <w:tcW w:w="2965" w:type="dxa"/>
            <w:tcBorders>
              <w:top w:val="single" w:sz="4" w:space="0" w:color="auto"/>
            </w:tcBorders>
          </w:tcPr>
          <w:p w:rsidR="00B87757" w:rsidRDefault="00B87757">
            <w:r>
              <w:t>Asthma</w:t>
            </w:r>
          </w:p>
        </w:tc>
        <w:tc>
          <w:tcPr>
            <w:tcW w:w="7105" w:type="dxa"/>
            <w:tcBorders>
              <w:top w:val="single" w:sz="4" w:space="0" w:color="auto"/>
            </w:tcBorders>
          </w:tcPr>
          <w:p w:rsidR="00B87757" w:rsidRDefault="00B87757">
            <w:r>
              <w:t>J45x, J46</w:t>
            </w:r>
          </w:p>
        </w:tc>
      </w:tr>
      <w:tr w:rsidR="00B87757" w:rsidTr="002559AA">
        <w:tc>
          <w:tcPr>
            <w:tcW w:w="2965" w:type="dxa"/>
            <w:tcBorders>
              <w:bottom w:val="single" w:sz="4" w:space="0" w:color="auto"/>
            </w:tcBorders>
          </w:tcPr>
          <w:p w:rsidR="00B87757" w:rsidRDefault="00B87757">
            <w:r>
              <w:t>Acute respiratory failure</w:t>
            </w:r>
          </w:p>
        </w:tc>
        <w:tc>
          <w:tcPr>
            <w:tcW w:w="7105" w:type="dxa"/>
            <w:tcBorders>
              <w:bottom w:val="single" w:sz="4" w:space="0" w:color="auto"/>
            </w:tcBorders>
          </w:tcPr>
          <w:p w:rsidR="00B87757" w:rsidRDefault="00B87757">
            <w:r>
              <w:t>J96x</w:t>
            </w:r>
          </w:p>
        </w:tc>
      </w:tr>
      <w:tr w:rsidR="00817653" w:rsidTr="002559AA">
        <w:tc>
          <w:tcPr>
            <w:tcW w:w="2965" w:type="dxa"/>
            <w:tcBorders>
              <w:top w:val="single" w:sz="4" w:space="0" w:color="auto"/>
              <w:bottom w:val="single" w:sz="4" w:space="0" w:color="auto"/>
            </w:tcBorders>
          </w:tcPr>
          <w:p w:rsidR="00817653" w:rsidRDefault="00817653">
            <w:r>
              <w:t>Exclusion criteria</w:t>
            </w:r>
          </w:p>
        </w:tc>
        <w:tc>
          <w:tcPr>
            <w:tcW w:w="7105" w:type="dxa"/>
            <w:tcBorders>
              <w:top w:val="single" w:sz="4" w:space="0" w:color="auto"/>
              <w:bottom w:val="single" w:sz="4" w:space="0" w:color="auto"/>
            </w:tcBorders>
          </w:tcPr>
          <w:p w:rsidR="00817653" w:rsidRDefault="00817653"/>
        </w:tc>
      </w:tr>
      <w:tr w:rsidR="00B87757" w:rsidTr="002559AA">
        <w:tc>
          <w:tcPr>
            <w:tcW w:w="2965" w:type="dxa"/>
            <w:tcBorders>
              <w:top w:val="single" w:sz="4" w:space="0" w:color="auto"/>
            </w:tcBorders>
          </w:tcPr>
          <w:p w:rsidR="00B87757" w:rsidRDefault="00A9157F">
            <w:r>
              <w:t>Pneumonia</w:t>
            </w:r>
          </w:p>
        </w:tc>
        <w:tc>
          <w:tcPr>
            <w:tcW w:w="7105" w:type="dxa"/>
            <w:tcBorders>
              <w:top w:val="single" w:sz="4" w:space="0" w:color="auto"/>
            </w:tcBorders>
          </w:tcPr>
          <w:p w:rsidR="00B87757" w:rsidRDefault="00A9157F">
            <w:r>
              <w:t>A010, A022, A162, A379, A48x, A49x, A500, A548, A698, A70, B012, B052, B068, B206, B221, B250, B371, B38x, B39x, B441, B49, B583, B59, B778, C349, J110, J12x, J13x, J14, J15x, J160, J18x, J202, J440, J67x, J680, J69x, J70x, J82, J83x, J85x, J958, K650, M0019, M0510, M32x, M33x, M351, 0290, P23x, Ps49, P361, U049</w:t>
            </w:r>
          </w:p>
        </w:tc>
      </w:tr>
      <w:tr w:rsidR="00B87757" w:rsidTr="002559AA">
        <w:tc>
          <w:tcPr>
            <w:tcW w:w="2965" w:type="dxa"/>
          </w:tcPr>
          <w:p w:rsidR="00B87757" w:rsidRDefault="00121314">
            <w:r>
              <w:t>Sinusitis</w:t>
            </w:r>
          </w:p>
        </w:tc>
        <w:tc>
          <w:tcPr>
            <w:tcW w:w="7105" w:type="dxa"/>
          </w:tcPr>
          <w:p w:rsidR="00B87757" w:rsidRDefault="00121314">
            <w:r>
              <w:t>J014, J019, J111, J32x, T701, T889</w:t>
            </w:r>
          </w:p>
        </w:tc>
      </w:tr>
      <w:tr w:rsidR="0007190B" w:rsidTr="002559AA">
        <w:tc>
          <w:tcPr>
            <w:tcW w:w="2965" w:type="dxa"/>
          </w:tcPr>
          <w:p w:rsidR="0007190B" w:rsidRDefault="0007190B">
            <w:r>
              <w:t>Lymphadenitis</w:t>
            </w:r>
          </w:p>
        </w:tc>
        <w:tc>
          <w:tcPr>
            <w:tcW w:w="7105" w:type="dxa"/>
          </w:tcPr>
          <w:p w:rsidR="0007190B" w:rsidRDefault="0007190B">
            <w:r>
              <w:t>A182, A210, A318, D763, D898, I88x, L04x</w:t>
            </w:r>
          </w:p>
        </w:tc>
      </w:tr>
      <w:tr w:rsidR="0007190B" w:rsidTr="002559AA">
        <w:tc>
          <w:tcPr>
            <w:tcW w:w="2965" w:type="dxa"/>
          </w:tcPr>
          <w:p w:rsidR="0007190B" w:rsidRDefault="0007190B">
            <w:r>
              <w:t>Abscess formation</w:t>
            </w:r>
          </w:p>
        </w:tc>
        <w:tc>
          <w:tcPr>
            <w:tcW w:w="7105" w:type="dxa"/>
          </w:tcPr>
          <w:p w:rsidR="0007190B" w:rsidRDefault="0007190B">
            <w:r>
              <w:t>A06x, A16x, A178, A18x, A54x, B43x, D733, E060, E236, E321, G06x, G09, H043, H050, H163, H278, H440, H600, H700, J329, J340, J36, J38x, J39x, J85x, K04x, K05x, K102, K113, K122, K130, K140, K20, K353, K572, K578, K610, K612, K614, K630, K650, K750, K810, K859, L02x, L030, L040, L100, L663, L748, M0099, N151, N288, N308, N340, N412, N450, N482, N492, N61, N709, N719, N732, N735, N751, N760, N764, 0860, 091x. T814</w:t>
            </w:r>
          </w:p>
        </w:tc>
      </w:tr>
      <w:tr w:rsidR="00B87757" w:rsidTr="002559AA">
        <w:tc>
          <w:tcPr>
            <w:tcW w:w="2965" w:type="dxa"/>
          </w:tcPr>
          <w:p w:rsidR="00B87757" w:rsidRDefault="005E5DCC">
            <w:r>
              <w:t xml:space="preserve"> </w:t>
            </w:r>
            <w:r w:rsidR="00121314">
              <w:t>Sepsis</w:t>
            </w:r>
          </w:p>
        </w:tc>
        <w:tc>
          <w:tcPr>
            <w:tcW w:w="7105" w:type="dxa"/>
          </w:tcPr>
          <w:p w:rsidR="00B87757" w:rsidRDefault="00121314">
            <w:r>
              <w:t>A021, A207, A227, A241, A267, A282, A327, A394, A40x, A41x, A427, A548, B007, B349, B377, D71, I301, I330, I400, I776, J020, J039, J209, J950, L029, L080, O080, O753, O85, O883, P36x, T814, R880</w:t>
            </w:r>
          </w:p>
        </w:tc>
      </w:tr>
      <w:tr w:rsidR="00B87757" w:rsidTr="002559AA">
        <w:tc>
          <w:tcPr>
            <w:tcW w:w="2965" w:type="dxa"/>
          </w:tcPr>
          <w:p w:rsidR="00B87757" w:rsidRDefault="005E5DCC">
            <w:r>
              <w:t xml:space="preserve"> </w:t>
            </w:r>
            <w:r w:rsidR="00121314">
              <w:t>Bacteremia</w:t>
            </w:r>
          </w:p>
        </w:tc>
        <w:tc>
          <w:tcPr>
            <w:tcW w:w="7105" w:type="dxa"/>
          </w:tcPr>
          <w:p w:rsidR="00B87757" w:rsidRDefault="00121314">
            <w:r>
              <w:t>A39x, A499, B49</w:t>
            </w:r>
          </w:p>
        </w:tc>
      </w:tr>
      <w:tr w:rsidR="00B87757" w:rsidTr="002559AA">
        <w:tc>
          <w:tcPr>
            <w:tcW w:w="2965" w:type="dxa"/>
          </w:tcPr>
          <w:p w:rsidR="00B87757" w:rsidRDefault="005E5DCC">
            <w:r>
              <w:t xml:space="preserve"> </w:t>
            </w:r>
            <w:r w:rsidR="00121314">
              <w:t>Influenza</w:t>
            </w:r>
          </w:p>
        </w:tc>
        <w:tc>
          <w:tcPr>
            <w:tcW w:w="7105" w:type="dxa"/>
          </w:tcPr>
          <w:p w:rsidR="00B87757" w:rsidRDefault="00121314">
            <w:r>
              <w:t>J09, J10x, J11x</w:t>
            </w:r>
          </w:p>
        </w:tc>
      </w:tr>
      <w:tr w:rsidR="00121314" w:rsidTr="002559AA">
        <w:tc>
          <w:tcPr>
            <w:tcW w:w="2965" w:type="dxa"/>
          </w:tcPr>
          <w:p w:rsidR="00121314" w:rsidRDefault="005E5DCC">
            <w:r>
              <w:t xml:space="preserve"> </w:t>
            </w:r>
            <w:r w:rsidR="00121314">
              <w:t>Urinary tract infection</w:t>
            </w:r>
          </w:p>
        </w:tc>
        <w:tc>
          <w:tcPr>
            <w:tcW w:w="7105" w:type="dxa"/>
          </w:tcPr>
          <w:p w:rsidR="00121314" w:rsidRDefault="00121314">
            <w:r>
              <w:t xml:space="preserve">N30x, </w:t>
            </w:r>
            <w:r>
              <w:rPr>
                <w:rFonts w:hint="eastAsia"/>
              </w:rPr>
              <w:t>N</w:t>
            </w:r>
            <w:r>
              <w:t>390, 0862, P393, T835, N10, N11x, N12, N209, A003, A191, T835, A181, A540, A560, B374, B901</w:t>
            </w:r>
          </w:p>
        </w:tc>
      </w:tr>
      <w:tr w:rsidR="00121314" w:rsidTr="002559AA">
        <w:tc>
          <w:tcPr>
            <w:tcW w:w="2965" w:type="dxa"/>
          </w:tcPr>
          <w:p w:rsidR="00121314" w:rsidRDefault="005E5DCC">
            <w:r>
              <w:t xml:space="preserve"> </w:t>
            </w:r>
            <w:r w:rsidR="00121314">
              <w:t xml:space="preserve">Skin </w:t>
            </w:r>
            <w:r w:rsidR="0007190B">
              <w:t xml:space="preserve">and subcutaneous </w:t>
            </w:r>
            <w:r w:rsidR="00121314">
              <w:t>infection</w:t>
            </w:r>
          </w:p>
        </w:tc>
        <w:tc>
          <w:tcPr>
            <w:tcW w:w="7105" w:type="dxa"/>
          </w:tcPr>
          <w:p w:rsidR="00121314" w:rsidRDefault="00121314">
            <w:r>
              <w:t>L089, P394, H0x, H601, K340, J36, J387, J391, K122, K291, K358, L03x, L983, N450, N730, N731</w:t>
            </w:r>
          </w:p>
        </w:tc>
      </w:tr>
      <w:tr w:rsidR="00121314" w:rsidTr="002559AA">
        <w:tc>
          <w:tcPr>
            <w:tcW w:w="2965" w:type="dxa"/>
          </w:tcPr>
          <w:p w:rsidR="00121314" w:rsidRDefault="005E5DCC">
            <w:r>
              <w:t xml:space="preserve"> </w:t>
            </w:r>
            <w:r w:rsidR="00121314">
              <w:t>Septic arthritis</w:t>
            </w:r>
          </w:p>
        </w:tc>
        <w:tc>
          <w:tcPr>
            <w:tcW w:w="7105" w:type="dxa"/>
          </w:tcPr>
          <w:p w:rsidR="00121314" w:rsidRDefault="00121314">
            <w:r>
              <w:t>M009</w:t>
            </w:r>
          </w:p>
        </w:tc>
      </w:tr>
      <w:tr w:rsidR="00121314" w:rsidTr="002559AA">
        <w:tc>
          <w:tcPr>
            <w:tcW w:w="2965" w:type="dxa"/>
            <w:tcBorders>
              <w:bottom w:val="single" w:sz="4" w:space="0" w:color="auto"/>
            </w:tcBorders>
          </w:tcPr>
          <w:p w:rsidR="00121314" w:rsidRDefault="005E5DCC">
            <w:r>
              <w:t xml:space="preserve"> </w:t>
            </w:r>
            <w:r w:rsidR="00121314">
              <w:t>Osteomyelitis</w:t>
            </w:r>
          </w:p>
        </w:tc>
        <w:tc>
          <w:tcPr>
            <w:tcW w:w="7105" w:type="dxa"/>
            <w:tcBorders>
              <w:bottom w:val="single" w:sz="4" w:space="0" w:color="auto"/>
            </w:tcBorders>
          </w:tcPr>
          <w:p w:rsidR="00121314" w:rsidRDefault="00121314">
            <w:r>
              <w:t xml:space="preserve">A022, A180, A318, A544, B672, D898, H050, K102, M462x, M86x, </w:t>
            </w:r>
          </w:p>
        </w:tc>
      </w:tr>
      <w:tr w:rsidR="00817653" w:rsidTr="002559AA">
        <w:tc>
          <w:tcPr>
            <w:tcW w:w="2965" w:type="dxa"/>
            <w:tcBorders>
              <w:top w:val="single" w:sz="4" w:space="0" w:color="auto"/>
              <w:bottom w:val="single" w:sz="4" w:space="0" w:color="auto"/>
            </w:tcBorders>
          </w:tcPr>
          <w:p w:rsidR="00817653" w:rsidRDefault="00817653">
            <w:r>
              <w:t>Pre-existing comorbidity</w:t>
            </w:r>
          </w:p>
        </w:tc>
        <w:tc>
          <w:tcPr>
            <w:tcW w:w="7105" w:type="dxa"/>
            <w:tcBorders>
              <w:top w:val="single" w:sz="4" w:space="0" w:color="auto"/>
              <w:bottom w:val="single" w:sz="4" w:space="0" w:color="auto"/>
            </w:tcBorders>
          </w:tcPr>
          <w:p w:rsidR="00817653" w:rsidRDefault="00817653"/>
        </w:tc>
      </w:tr>
      <w:tr w:rsidR="0007190B" w:rsidTr="002559AA">
        <w:tc>
          <w:tcPr>
            <w:tcW w:w="2965" w:type="dxa"/>
            <w:tcBorders>
              <w:top w:val="single" w:sz="4" w:space="0" w:color="auto"/>
            </w:tcBorders>
          </w:tcPr>
          <w:p w:rsidR="0007190B" w:rsidRDefault="005E5DCC">
            <w:r>
              <w:t xml:space="preserve"> </w:t>
            </w:r>
            <w:r w:rsidR="0007190B">
              <w:t>Food allergy</w:t>
            </w:r>
          </w:p>
        </w:tc>
        <w:tc>
          <w:tcPr>
            <w:tcW w:w="7105" w:type="dxa"/>
            <w:tcBorders>
              <w:top w:val="single" w:sz="4" w:space="0" w:color="auto"/>
            </w:tcBorders>
          </w:tcPr>
          <w:p w:rsidR="0007190B" w:rsidRDefault="0007190B">
            <w:r>
              <w:t>T781, T782</w:t>
            </w:r>
          </w:p>
        </w:tc>
      </w:tr>
      <w:tr w:rsidR="0007190B" w:rsidTr="002559AA">
        <w:tc>
          <w:tcPr>
            <w:tcW w:w="2965" w:type="dxa"/>
          </w:tcPr>
          <w:p w:rsidR="0007190B" w:rsidRDefault="005E5DCC">
            <w:r>
              <w:t xml:space="preserve"> </w:t>
            </w:r>
            <w:r w:rsidR="0007190B">
              <w:t>Atopic dermatitis/eczema</w:t>
            </w:r>
          </w:p>
        </w:tc>
        <w:tc>
          <w:tcPr>
            <w:tcW w:w="7105" w:type="dxa"/>
          </w:tcPr>
          <w:p w:rsidR="0007190B" w:rsidRDefault="0007190B">
            <w:r>
              <w:t xml:space="preserve">L208, L209, </w:t>
            </w:r>
          </w:p>
        </w:tc>
      </w:tr>
      <w:tr w:rsidR="00817653" w:rsidTr="002559AA">
        <w:tc>
          <w:tcPr>
            <w:tcW w:w="2965" w:type="dxa"/>
          </w:tcPr>
          <w:p w:rsidR="00817653" w:rsidRDefault="005E5DCC">
            <w:r>
              <w:t xml:space="preserve"> </w:t>
            </w:r>
            <w:r w:rsidR="00817653">
              <w:t>Allergic rhinitis</w:t>
            </w:r>
          </w:p>
        </w:tc>
        <w:tc>
          <w:tcPr>
            <w:tcW w:w="7105" w:type="dxa"/>
          </w:tcPr>
          <w:p w:rsidR="00817653" w:rsidRDefault="00817653">
            <w:r>
              <w:t>J301–304</w:t>
            </w:r>
          </w:p>
        </w:tc>
      </w:tr>
    </w:tbl>
    <w:p w:rsidR="00B87757" w:rsidRDefault="00B87757"/>
    <w:p w:rsidR="00B87757" w:rsidRDefault="00B87757"/>
    <w:p w:rsidR="00B87757" w:rsidRDefault="00B87757">
      <w:r>
        <w:br w:type="page"/>
      </w:r>
    </w:p>
    <w:p w:rsidR="00C61031" w:rsidRDefault="00C61031">
      <w:r>
        <w:lastRenderedPageBreak/>
        <w:t xml:space="preserve">Supplemental Table </w:t>
      </w:r>
      <w:r w:rsidR="00AF3FEF">
        <w:t>2</w:t>
      </w:r>
      <w:r>
        <w:t xml:space="preserve">. </w:t>
      </w:r>
      <w:r w:rsidR="00121314">
        <w:t>Classifications and l</w:t>
      </w:r>
      <w:r w:rsidR="005D7C24">
        <w:t>ist</w:t>
      </w:r>
      <w:r w:rsidR="00121314">
        <w:t>s</w:t>
      </w:r>
      <w:r w:rsidR="005D7C24">
        <w:t xml:space="preserve"> of a</w:t>
      </w:r>
      <w:r>
        <w:t>ntibiotics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825"/>
      </w:tblGrid>
      <w:tr w:rsidR="005021AB" w:rsidTr="002559AA">
        <w:tc>
          <w:tcPr>
            <w:tcW w:w="2245" w:type="dxa"/>
            <w:tcBorders>
              <w:top w:val="single" w:sz="4" w:space="0" w:color="auto"/>
              <w:bottom w:val="single" w:sz="4" w:space="0" w:color="auto"/>
            </w:tcBorders>
          </w:tcPr>
          <w:p w:rsidR="005021AB" w:rsidRDefault="005021AB">
            <w:r>
              <w:t>Classification</w:t>
            </w:r>
          </w:p>
        </w:tc>
        <w:tc>
          <w:tcPr>
            <w:tcW w:w="7825" w:type="dxa"/>
            <w:tcBorders>
              <w:top w:val="single" w:sz="4" w:space="0" w:color="auto"/>
              <w:bottom w:val="single" w:sz="4" w:space="0" w:color="auto"/>
            </w:tcBorders>
          </w:tcPr>
          <w:p w:rsidR="005021AB" w:rsidRDefault="005021AB">
            <w:r>
              <w:t>Details</w:t>
            </w:r>
          </w:p>
        </w:tc>
      </w:tr>
      <w:tr w:rsidR="005021AB" w:rsidTr="002559AA">
        <w:tc>
          <w:tcPr>
            <w:tcW w:w="2245" w:type="dxa"/>
            <w:tcBorders>
              <w:top w:val="single" w:sz="4" w:space="0" w:color="auto"/>
              <w:bottom w:val="single" w:sz="4" w:space="0" w:color="auto"/>
            </w:tcBorders>
          </w:tcPr>
          <w:p w:rsidR="005021AB" w:rsidRDefault="005021AB">
            <w:r>
              <w:t>Penicillin</w:t>
            </w:r>
          </w:p>
        </w:tc>
        <w:tc>
          <w:tcPr>
            <w:tcW w:w="7825" w:type="dxa"/>
            <w:tcBorders>
              <w:top w:val="single" w:sz="4" w:space="0" w:color="auto"/>
              <w:bottom w:val="single" w:sz="4" w:space="0" w:color="auto"/>
            </w:tcBorders>
          </w:tcPr>
          <w:p w:rsidR="005021AB" w:rsidRDefault="005021AB">
            <w:r>
              <w:t xml:space="preserve">Benzylpenicillin potassium, benzylpenicillin benzathine hydrate, ampicillin, bacampicillin hydrochloride, amoxicillin hydrate </w:t>
            </w:r>
          </w:p>
        </w:tc>
      </w:tr>
      <w:tr w:rsidR="005021AB" w:rsidTr="002559AA">
        <w:tc>
          <w:tcPr>
            <w:tcW w:w="2245" w:type="dxa"/>
            <w:tcBorders>
              <w:top w:val="single" w:sz="4" w:space="0" w:color="auto"/>
              <w:bottom w:val="single" w:sz="4" w:space="0" w:color="auto"/>
            </w:tcBorders>
          </w:tcPr>
          <w:p w:rsidR="005021AB" w:rsidRDefault="005021AB">
            <w:r>
              <w:t>Penicillin with beta-lactamase inhibitors</w:t>
            </w:r>
          </w:p>
        </w:tc>
        <w:tc>
          <w:tcPr>
            <w:tcW w:w="7825" w:type="dxa"/>
            <w:tcBorders>
              <w:top w:val="single" w:sz="4" w:space="0" w:color="auto"/>
              <w:bottom w:val="single" w:sz="4" w:space="0" w:color="auto"/>
            </w:tcBorders>
          </w:tcPr>
          <w:p w:rsidR="005021AB" w:rsidRDefault="005021AB">
            <w:r>
              <w:t>Amoxicillin clavulana</w:t>
            </w:r>
            <w:r>
              <w:rPr>
                <w:rFonts w:hint="eastAsia"/>
              </w:rPr>
              <w:t>t</w:t>
            </w:r>
            <w:r>
              <w:t xml:space="preserve">e, </w:t>
            </w:r>
            <w:r w:rsidRPr="005021AB">
              <w:t>ampicillin sulbactam</w:t>
            </w:r>
            <w:r>
              <w:t xml:space="preserve">, piperacillin sodium, </w:t>
            </w:r>
            <w:r w:rsidRPr="005021AB">
              <w:t>piperacillin tazobactam</w:t>
            </w:r>
          </w:p>
        </w:tc>
      </w:tr>
      <w:tr w:rsidR="005021AB" w:rsidTr="002559AA">
        <w:tc>
          <w:tcPr>
            <w:tcW w:w="2245" w:type="dxa"/>
            <w:tcBorders>
              <w:top w:val="single" w:sz="4" w:space="0" w:color="auto"/>
              <w:bottom w:val="single" w:sz="4" w:space="0" w:color="auto"/>
            </w:tcBorders>
          </w:tcPr>
          <w:p w:rsidR="005021AB" w:rsidRDefault="005021AB">
            <w:r>
              <w:t>First-generation cephalosporin</w:t>
            </w:r>
          </w:p>
        </w:tc>
        <w:tc>
          <w:tcPr>
            <w:tcW w:w="7825" w:type="dxa"/>
            <w:tcBorders>
              <w:top w:val="single" w:sz="4" w:space="0" w:color="auto"/>
              <w:bottom w:val="single" w:sz="4" w:space="0" w:color="auto"/>
            </w:tcBorders>
          </w:tcPr>
          <w:p w:rsidR="005021AB" w:rsidRDefault="005021AB">
            <w:r>
              <w:t xml:space="preserve">Cephazolin, cefalexin, </w:t>
            </w:r>
            <w:proofErr w:type="spellStart"/>
            <w:r>
              <w:t>cefroxadine</w:t>
            </w:r>
            <w:proofErr w:type="spellEnd"/>
            <w:r>
              <w:t xml:space="preserve">, </w:t>
            </w:r>
            <w:proofErr w:type="spellStart"/>
            <w:r>
              <w:t>cefaclor</w:t>
            </w:r>
            <w:proofErr w:type="spellEnd"/>
          </w:p>
        </w:tc>
      </w:tr>
      <w:tr w:rsidR="005021AB" w:rsidTr="002559AA">
        <w:tc>
          <w:tcPr>
            <w:tcW w:w="2245" w:type="dxa"/>
            <w:tcBorders>
              <w:top w:val="single" w:sz="4" w:space="0" w:color="auto"/>
              <w:bottom w:val="single" w:sz="4" w:space="0" w:color="auto"/>
            </w:tcBorders>
          </w:tcPr>
          <w:p w:rsidR="005021AB" w:rsidRDefault="005021AB">
            <w:r>
              <w:t>Second-generation cephalosporin</w:t>
            </w:r>
          </w:p>
        </w:tc>
        <w:tc>
          <w:tcPr>
            <w:tcW w:w="7825" w:type="dxa"/>
            <w:tcBorders>
              <w:top w:val="single" w:sz="4" w:space="0" w:color="auto"/>
              <w:bottom w:val="single" w:sz="4" w:space="0" w:color="auto"/>
            </w:tcBorders>
          </w:tcPr>
          <w:p w:rsidR="005021AB" w:rsidRDefault="005021AB">
            <w:r>
              <w:t xml:space="preserve">Cefotiam, cefmetazole, </w:t>
            </w:r>
            <w:proofErr w:type="spellStart"/>
            <w:r>
              <w:t>cefminox</w:t>
            </w:r>
            <w:proofErr w:type="spellEnd"/>
            <w:r>
              <w:t>, flomoxef, cefuroxime</w:t>
            </w:r>
          </w:p>
        </w:tc>
      </w:tr>
      <w:tr w:rsidR="005021AB" w:rsidTr="002559AA">
        <w:tc>
          <w:tcPr>
            <w:tcW w:w="2245" w:type="dxa"/>
            <w:tcBorders>
              <w:top w:val="single" w:sz="4" w:space="0" w:color="auto"/>
              <w:bottom w:val="single" w:sz="4" w:space="0" w:color="auto"/>
            </w:tcBorders>
          </w:tcPr>
          <w:p w:rsidR="005021AB" w:rsidRDefault="005021AB">
            <w:r>
              <w:t>Third-generation cephalosporin</w:t>
            </w:r>
          </w:p>
        </w:tc>
        <w:tc>
          <w:tcPr>
            <w:tcW w:w="7825" w:type="dxa"/>
            <w:tcBorders>
              <w:top w:val="single" w:sz="4" w:space="0" w:color="auto"/>
              <w:bottom w:val="single" w:sz="4" w:space="0" w:color="auto"/>
            </w:tcBorders>
          </w:tcPr>
          <w:p w:rsidR="005021AB" w:rsidRDefault="005021AB">
            <w:r>
              <w:t xml:space="preserve">Cefotaxime, </w:t>
            </w:r>
            <w:proofErr w:type="spellStart"/>
            <w:r>
              <w:t>cefmnoxime</w:t>
            </w:r>
            <w:proofErr w:type="spellEnd"/>
            <w:r>
              <w:t xml:space="preserve">, </w:t>
            </w:r>
            <w:proofErr w:type="spellStart"/>
            <w:r>
              <w:t>ceftriaxione</w:t>
            </w:r>
            <w:proofErr w:type="spellEnd"/>
            <w:r>
              <w:t xml:space="preserve">, </w:t>
            </w:r>
            <w:proofErr w:type="spellStart"/>
            <w:r>
              <w:t>ceftadizime</w:t>
            </w:r>
            <w:proofErr w:type="spellEnd"/>
            <w:r>
              <w:t xml:space="preserve">, cefdinir, ceftibuten, </w:t>
            </w:r>
            <w:proofErr w:type="spellStart"/>
            <w:r>
              <w:t>cefditren</w:t>
            </w:r>
            <w:proofErr w:type="spellEnd"/>
            <w:r>
              <w:t xml:space="preserve"> </w:t>
            </w:r>
            <w:proofErr w:type="spellStart"/>
            <w:r>
              <w:t>pivoxil</w:t>
            </w:r>
            <w:proofErr w:type="spellEnd"/>
            <w:r>
              <w:t xml:space="preserve">, cefixime, </w:t>
            </w:r>
            <w:proofErr w:type="spellStart"/>
            <w:r>
              <w:t>cefteram</w:t>
            </w:r>
            <w:proofErr w:type="spellEnd"/>
            <w:r>
              <w:t xml:space="preserve"> </w:t>
            </w:r>
            <w:proofErr w:type="spellStart"/>
            <w:r>
              <w:t>pivoxil</w:t>
            </w:r>
            <w:proofErr w:type="spellEnd"/>
            <w:r>
              <w:t xml:space="preserve">, cefpodoxime </w:t>
            </w:r>
            <w:proofErr w:type="spellStart"/>
            <w:r>
              <w:t>proxetil</w:t>
            </w:r>
            <w:proofErr w:type="spellEnd"/>
            <w:r>
              <w:t xml:space="preserve">, cefcapene </w:t>
            </w:r>
            <w:proofErr w:type="spellStart"/>
            <w:r>
              <w:t>pivoxil</w:t>
            </w:r>
            <w:proofErr w:type="spellEnd"/>
            <w:r>
              <w:t xml:space="preserve">, ceftizoxime, </w:t>
            </w:r>
          </w:p>
        </w:tc>
      </w:tr>
      <w:tr w:rsidR="005021AB" w:rsidTr="002559AA">
        <w:tc>
          <w:tcPr>
            <w:tcW w:w="2245" w:type="dxa"/>
            <w:tcBorders>
              <w:top w:val="single" w:sz="4" w:space="0" w:color="auto"/>
              <w:bottom w:val="single" w:sz="4" w:space="0" w:color="auto"/>
            </w:tcBorders>
          </w:tcPr>
          <w:p w:rsidR="005021AB" w:rsidRDefault="005021AB">
            <w:r>
              <w:t>Fourth-generation cephalosporin</w:t>
            </w:r>
          </w:p>
        </w:tc>
        <w:tc>
          <w:tcPr>
            <w:tcW w:w="7825" w:type="dxa"/>
            <w:tcBorders>
              <w:top w:val="single" w:sz="4" w:space="0" w:color="auto"/>
              <w:bottom w:val="single" w:sz="4" w:space="0" w:color="auto"/>
            </w:tcBorders>
          </w:tcPr>
          <w:p w:rsidR="005021AB" w:rsidRDefault="005021AB">
            <w:r>
              <w:t>Cefpirome, cefozopran, cefepime</w:t>
            </w:r>
          </w:p>
        </w:tc>
      </w:tr>
      <w:tr w:rsidR="005021AB" w:rsidTr="002559AA">
        <w:tc>
          <w:tcPr>
            <w:tcW w:w="2245" w:type="dxa"/>
            <w:tcBorders>
              <w:top w:val="single" w:sz="4" w:space="0" w:color="auto"/>
              <w:bottom w:val="single" w:sz="4" w:space="0" w:color="auto"/>
            </w:tcBorders>
          </w:tcPr>
          <w:p w:rsidR="005021AB" w:rsidRDefault="005021AB">
            <w:r>
              <w:t xml:space="preserve">Carbapenem and oral </w:t>
            </w:r>
            <w:proofErr w:type="spellStart"/>
            <w:r>
              <w:t>penem</w:t>
            </w:r>
            <w:proofErr w:type="spellEnd"/>
          </w:p>
        </w:tc>
        <w:tc>
          <w:tcPr>
            <w:tcW w:w="7825" w:type="dxa"/>
            <w:tcBorders>
              <w:top w:val="single" w:sz="4" w:space="0" w:color="auto"/>
              <w:bottom w:val="single" w:sz="4" w:space="0" w:color="auto"/>
            </w:tcBorders>
          </w:tcPr>
          <w:p w:rsidR="005021AB" w:rsidRDefault="005021AB">
            <w:proofErr w:type="spellStart"/>
            <w:r>
              <w:t>Inipenem</w:t>
            </w:r>
            <w:proofErr w:type="spellEnd"/>
            <w:r>
              <w:t xml:space="preserve"> </w:t>
            </w:r>
            <w:proofErr w:type="spellStart"/>
            <w:r>
              <w:t>cilastatin</w:t>
            </w:r>
            <w:proofErr w:type="spellEnd"/>
            <w:r>
              <w:t xml:space="preserve">, panipenem </w:t>
            </w:r>
            <w:proofErr w:type="spellStart"/>
            <w:r>
              <w:t>betamipron</w:t>
            </w:r>
            <w:proofErr w:type="spellEnd"/>
            <w:r>
              <w:t xml:space="preserve">, meropenem, biapenem, </w:t>
            </w:r>
            <w:proofErr w:type="spellStart"/>
            <w:r>
              <w:t>doripenem</w:t>
            </w:r>
            <w:proofErr w:type="spellEnd"/>
            <w:r>
              <w:t xml:space="preserve">, tebipenem </w:t>
            </w:r>
            <w:proofErr w:type="spellStart"/>
            <w:r>
              <w:t>pivoxil</w:t>
            </w:r>
            <w:proofErr w:type="spellEnd"/>
            <w:r>
              <w:t xml:space="preserve">, </w:t>
            </w:r>
            <w:proofErr w:type="spellStart"/>
            <w:r>
              <w:t>faropenem</w:t>
            </w:r>
            <w:proofErr w:type="spellEnd"/>
          </w:p>
        </w:tc>
      </w:tr>
      <w:tr w:rsidR="00085EEE" w:rsidTr="002559AA">
        <w:tc>
          <w:tcPr>
            <w:tcW w:w="2245" w:type="dxa"/>
            <w:tcBorders>
              <w:top w:val="single" w:sz="4" w:space="0" w:color="auto"/>
              <w:bottom w:val="single" w:sz="4" w:space="0" w:color="auto"/>
            </w:tcBorders>
          </w:tcPr>
          <w:p w:rsidR="00085EEE" w:rsidRDefault="00085EEE">
            <w:r>
              <w:t>Macrolide</w:t>
            </w:r>
          </w:p>
        </w:tc>
        <w:tc>
          <w:tcPr>
            <w:tcW w:w="7825" w:type="dxa"/>
            <w:tcBorders>
              <w:top w:val="single" w:sz="4" w:space="0" w:color="auto"/>
              <w:bottom w:val="single" w:sz="4" w:space="0" w:color="auto"/>
            </w:tcBorders>
          </w:tcPr>
          <w:p w:rsidR="00085EEE" w:rsidRDefault="00085EEE">
            <w:proofErr w:type="spellStart"/>
            <w:r>
              <w:t>Erythromicin</w:t>
            </w:r>
            <w:proofErr w:type="spellEnd"/>
            <w:r>
              <w:t xml:space="preserve">, clarithromycin, roxithromycin, azithromycin, </w:t>
            </w:r>
            <w:proofErr w:type="spellStart"/>
            <w:r>
              <w:t>josamycin</w:t>
            </w:r>
            <w:proofErr w:type="spellEnd"/>
          </w:p>
        </w:tc>
      </w:tr>
      <w:tr w:rsidR="00085EEE" w:rsidTr="002559AA">
        <w:tc>
          <w:tcPr>
            <w:tcW w:w="2245" w:type="dxa"/>
            <w:tcBorders>
              <w:top w:val="single" w:sz="4" w:space="0" w:color="auto"/>
              <w:bottom w:val="single" w:sz="4" w:space="0" w:color="auto"/>
            </w:tcBorders>
          </w:tcPr>
          <w:p w:rsidR="00085EEE" w:rsidRDefault="00085EEE">
            <w:r>
              <w:t>Tetracycline</w:t>
            </w:r>
          </w:p>
        </w:tc>
        <w:tc>
          <w:tcPr>
            <w:tcW w:w="7825" w:type="dxa"/>
            <w:tcBorders>
              <w:top w:val="single" w:sz="4" w:space="0" w:color="auto"/>
              <w:bottom w:val="single" w:sz="4" w:space="0" w:color="auto"/>
            </w:tcBorders>
          </w:tcPr>
          <w:p w:rsidR="00085EEE" w:rsidRDefault="00085EEE">
            <w:r>
              <w:t>Tetracycline, doxycycline, minocycline, tigecycline</w:t>
            </w:r>
          </w:p>
        </w:tc>
      </w:tr>
      <w:tr w:rsidR="00085EEE" w:rsidTr="002559AA">
        <w:tc>
          <w:tcPr>
            <w:tcW w:w="2245" w:type="dxa"/>
            <w:tcBorders>
              <w:top w:val="single" w:sz="4" w:space="0" w:color="auto"/>
              <w:bottom w:val="single" w:sz="4" w:space="0" w:color="auto"/>
            </w:tcBorders>
          </w:tcPr>
          <w:p w:rsidR="00085EEE" w:rsidRDefault="00085EEE">
            <w:r>
              <w:t>Quinolone</w:t>
            </w:r>
          </w:p>
        </w:tc>
        <w:tc>
          <w:tcPr>
            <w:tcW w:w="7825" w:type="dxa"/>
            <w:tcBorders>
              <w:top w:val="single" w:sz="4" w:space="0" w:color="auto"/>
              <w:bottom w:val="single" w:sz="4" w:space="0" w:color="auto"/>
            </w:tcBorders>
          </w:tcPr>
          <w:p w:rsidR="00085EEE" w:rsidRDefault="00085EEE">
            <w:r>
              <w:t xml:space="preserve">Norfloxacin, ofloxacin, levofloxacin, </w:t>
            </w:r>
            <w:proofErr w:type="spellStart"/>
            <w:r>
              <w:t>ciproxacin</w:t>
            </w:r>
            <w:proofErr w:type="spellEnd"/>
            <w:r>
              <w:t xml:space="preserve">, </w:t>
            </w:r>
            <w:proofErr w:type="spellStart"/>
            <w:r>
              <w:t>lomeofloxacin</w:t>
            </w:r>
            <w:proofErr w:type="spellEnd"/>
            <w:r>
              <w:t xml:space="preserve">, </w:t>
            </w:r>
            <w:proofErr w:type="spellStart"/>
            <w:r>
              <w:t>tosufloxacin</w:t>
            </w:r>
            <w:proofErr w:type="spellEnd"/>
            <w:r>
              <w:t xml:space="preserve">, pazufloxacin, prulifloxacin, moxifloxacin, garenoxacin, </w:t>
            </w:r>
            <w:proofErr w:type="spellStart"/>
            <w:r>
              <w:t>sitafloxacin</w:t>
            </w:r>
            <w:proofErr w:type="spellEnd"/>
          </w:p>
        </w:tc>
      </w:tr>
      <w:tr w:rsidR="00085EEE" w:rsidTr="002559AA">
        <w:tc>
          <w:tcPr>
            <w:tcW w:w="2245" w:type="dxa"/>
            <w:tcBorders>
              <w:top w:val="single" w:sz="4" w:space="0" w:color="auto"/>
              <w:bottom w:val="single" w:sz="4" w:space="0" w:color="auto"/>
            </w:tcBorders>
          </w:tcPr>
          <w:p w:rsidR="00085EEE" w:rsidRDefault="00085EEE">
            <w:r>
              <w:t>T</w:t>
            </w:r>
            <w:r w:rsidRPr="00085EEE">
              <w:t>rimethoprim-sulfamethoxazole</w:t>
            </w:r>
          </w:p>
        </w:tc>
        <w:tc>
          <w:tcPr>
            <w:tcW w:w="7825" w:type="dxa"/>
            <w:tcBorders>
              <w:top w:val="single" w:sz="4" w:space="0" w:color="auto"/>
              <w:bottom w:val="single" w:sz="4" w:space="0" w:color="auto"/>
            </w:tcBorders>
          </w:tcPr>
          <w:p w:rsidR="00085EEE" w:rsidRDefault="00085EEE">
            <w:r>
              <w:t>T</w:t>
            </w:r>
            <w:r w:rsidRPr="00085EEE">
              <w:t>rimethoprim-sulfamethoxazole</w:t>
            </w:r>
          </w:p>
        </w:tc>
      </w:tr>
      <w:tr w:rsidR="00085EEE" w:rsidTr="002559AA">
        <w:tc>
          <w:tcPr>
            <w:tcW w:w="2245" w:type="dxa"/>
            <w:tcBorders>
              <w:top w:val="single" w:sz="4" w:space="0" w:color="auto"/>
              <w:bottom w:val="single" w:sz="4" w:space="0" w:color="auto"/>
            </w:tcBorders>
          </w:tcPr>
          <w:p w:rsidR="00085EEE" w:rsidRDefault="00085EEE">
            <w:r>
              <w:t>Aminoglycoside</w:t>
            </w:r>
          </w:p>
        </w:tc>
        <w:tc>
          <w:tcPr>
            <w:tcW w:w="7825" w:type="dxa"/>
            <w:tcBorders>
              <w:top w:val="single" w:sz="4" w:space="0" w:color="auto"/>
              <w:bottom w:val="single" w:sz="4" w:space="0" w:color="auto"/>
            </w:tcBorders>
          </w:tcPr>
          <w:p w:rsidR="00085EEE" w:rsidRDefault="00085EEE">
            <w:r>
              <w:t xml:space="preserve">Streptomycin, kanamycin, gentamicin, tobramycin, </w:t>
            </w:r>
            <w:proofErr w:type="spellStart"/>
            <w:r>
              <w:t>dibekacin</w:t>
            </w:r>
            <w:proofErr w:type="spellEnd"/>
            <w:r>
              <w:t xml:space="preserve">, amikacin, </w:t>
            </w:r>
            <w:proofErr w:type="spellStart"/>
            <w:r>
              <w:t>isepamicin</w:t>
            </w:r>
            <w:proofErr w:type="spellEnd"/>
            <w:r>
              <w:t>, arbekacin</w:t>
            </w:r>
          </w:p>
        </w:tc>
      </w:tr>
      <w:tr w:rsidR="00085EEE" w:rsidTr="002559AA">
        <w:tc>
          <w:tcPr>
            <w:tcW w:w="2245" w:type="dxa"/>
            <w:tcBorders>
              <w:top w:val="single" w:sz="4" w:space="0" w:color="auto"/>
              <w:bottom w:val="single" w:sz="4" w:space="0" w:color="auto"/>
            </w:tcBorders>
          </w:tcPr>
          <w:p w:rsidR="00085EEE" w:rsidRDefault="00085EEE">
            <w:r>
              <w:t>Lincomycin</w:t>
            </w:r>
          </w:p>
        </w:tc>
        <w:tc>
          <w:tcPr>
            <w:tcW w:w="7825" w:type="dxa"/>
            <w:tcBorders>
              <w:top w:val="single" w:sz="4" w:space="0" w:color="auto"/>
              <w:bottom w:val="single" w:sz="4" w:space="0" w:color="auto"/>
            </w:tcBorders>
          </w:tcPr>
          <w:p w:rsidR="00085EEE" w:rsidRDefault="00085EEE">
            <w:r>
              <w:t xml:space="preserve">Lincomycin, clindamycin, </w:t>
            </w:r>
          </w:p>
        </w:tc>
      </w:tr>
      <w:tr w:rsidR="00085EEE" w:rsidTr="002559AA">
        <w:tc>
          <w:tcPr>
            <w:tcW w:w="2245" w:type="dxa"/>
            <w:tcBorders>
              <w:top w:val="single" w:sz="4" w:space="0" w:color="auto"/>
              <w:bottom w:val="single" w:sz="4" w:space="0" w:color="auto"/>
            </w:tcBorders>
          </w:tcPr>
          <w:p w:rsidR="00085EEE" w:rsidRDefault="00085EEE">
            <w:proofErr w:type="spellStart"/>
            <w:r>
              <w:t>Glycopeptide</w:t>
            </w:r>
            <w:proofErr w:type="spellEnd"/>
            <w:r>
              <w:t xml:space="preserve"> and lipopeptide</w:t>
            </w:r>
          </w:p>
        </w:tc>
        <w:tc>
          <w:tcPr>
            <w:tcW w:w="7825" w:type="dxa"/>
            <w:tcBorders>
              <w:top w:val="single" w:sz="4" w:space="0" w:color="auto"/>
              <w:bottom w:val="single" w:sz="4" w:space="0" w:color="auto"/>
            </w:tcBorders>
          </w:tcPr>
          <w:p w:rsidR="00085EEE" w:rsidRDefault="00085EEE">
            <w:r>
              <w:t>Vancomycin, teicoplanin, daptomycin</w:t>
            </w:r>
          </w:p>
        </w:tc>
      </w:tr>
      <w:tr w:rsidR="00085EEE" w:rsidTr="002559AA">
        <w:tc>
          <w:tcPr>
            <w:tcW w:w="2245" w:type="dxa"/>
            <w:tcBorders>
              <w:top w:val="single" w:sz="4" w:space="0" w:color="auto"/>
              <w:bottom w:val="single" w:sz="4" w:space="0" w:color="auto"/>
            </w:tcBorders>
          </w:tcPr>
          <w:p w:rsidR="00085EEE" w:rsidRDefault="00085EEE">
            <w:r>
              <w:t>Fosfomycin</w:t>
            </w:r>
          </w:p>
        </w:tc>
        <w:tc>
          <w:tcPr>
            <w:tcW w:w="7825" w:type="dxa"/>
            <w:tcBorders>
              <w:top w:val="single" w:sz="4" w:space="0" w:color="auto"/>
              <w:bottom w:val="single" w:sz="4" w:space="0" w:color="auto"/>
            </w:tcBorders>
          </w:tcPr>
          <w:p w:rsidR="00085EEE" w:rsidRDefault="00085EEE">
            <w:r>
              <w:t>Fosfomycin</w:t>
            </w:r>
          </w:p>
        </w:tc>
      </w:tr>
      <w:tr w:rsidR="00085EEE" w:rsidTr="002559AA">
        <w:tc>
          <w:tcPr>
            <w:tcW w:w="2245" w:type="dxa"/>
            <w:tcBorders>
              <w:top w:val="single" w:sz="4" w:space="0" w:color="auto"/>
            </w:tcBorders>
          </w:tcPr>
          <w:p w:rsidR="00085EEE" w:rsidRDefault="00085EEE">
            <w:r>
              <w:t>Other types</w:t>
            </w:r>
          </w:p>
        </w:tc>
        <w:tc>
          <w:tcPr>
            <w:tcW w:w="7825" w:type="dxa"/>
            <w:tcBorders>
              <w:top w:val="single" w:sz="4" w:space="0" w:color="auto"/>
            </w:tcBorders>
          </w:tcPr>
          <w:p w:rsidR="00085EEE" w:rsidRDefault="00085EEE">
            <w:proofErr w:type="spellStart"/>
            <w:r>
              <w:t>Quinoupristin</w:t>
            </w:r>
            <w:proofErr w:type="spellEnd"/>
            <w:r>
              <w:t xml:space="preserve"> </w:t>
            </w:r>
            <w:proofErr w:type="spellStart"/>
            <w:r>
              <w:t>dalfopristin</w:t>
            </w:r>
            <w:proofErr w:type="spellEnd"/>
            <w:r>
              <w:t>, linezolid, chloramp</w:t>
            </w:r>
            <w:r w:rsidR="0007190B">
              <w:t>h</w:t>
            </w:r>
            <w:r>
              <w:t xml:space="preserve">enicol, colistin, polymyxin B, </w:t>
            </w:r>
            <w:proofErr w:type="spellStart"/>
            <w:r>
              <w:t>azreonam</w:t>
            </w:r>
            <w:proofErr w:type="spellEnd"/>
            <w:r w:rsidR="0007190B">
              <w:t xml:space="preserve">, metronidazole, </w:t>
            </w:r>
          </w:p>
        </w:tc>
      </w:tr>
    </w:tbl>
    <w:p w:rsidR="00C61031" w:rsidRDefault="00C61031"/>
    <w:p w:rsidR="004C0F38" w:rsidRDefault="004C0F38"/>
    <w:p w:rsidR="004C0F38" w:rsidRDefault="004C0F38">
      <w:r>
        <w:br w:type="page"/>
      </w:r>
    </w:p>
    <w:p w:rsidR="00C61031" w:rsidRDefault="00C61031">
      <w:r>
        <w:lastRenderedPageBreak/>
        <w:t xml:space="preserve">Supplemental Table </w:t>
      </w:r>
      <w:r w:rsidR="00AF3FEF">
        <w:t>3</w:t>
      </w:r>
      <w:r>
        <w:t xml:space="preserve">. </w:t>
      </w:r>
      <w:r w:rsidR="004C0F38">
        <w:t>List of</w:t>
      </w:r>
      <w:r>
        <w:t xml:space="preserve"> medications</w:t>
      </w:r>
      <w:r w:rsidR="004C0F38">
        <w:t xml:space="preserve"> other than antibiotics</w:t>
      </w:r>
    </w:p>
    <w:tbl>
      <w:tblPr>
        <w:tblStyle w:val="TableGrid"/>
        <w:tblW w:w="10890" w:type="dxa"/>
        <w:tblInd w:w="-95" w:type="dxa"/>
        <w:tblBorders>
          <w:left w:val="none" w:sz="0" w:space="0" w:color="auto"/>
          <w:right w:val="none" w:sz="0" w:space="0" w:color="auto"/>
          <w:insideV w:val="none" w:sz="0" w:space="0" w:color="auto"/>
        </w:tblBorders>
        <w:tblLook w:val="04A0" w:firstRow="1" w:lastRow="0" w:firstColumn="1" w:lastColumn="0" w:noHBand="0" w:noVBand="1"/>
      </w:tblPr>
      <w:tblGrid>
        <w:gridCol w:w="2610"/>
        <w:gridCol w:w="8280"/>
      </w:tblGrid>
      <w:tr w:rsidR="00C61031" w:rsidTr="002559AA">
        <w:tc>
          <w:tcPr>
            <w:tcW w:w="2610" w:type="dxa"/>
          </w:tcPr>
          <w:p w:rsidR="00C61031" w:rsidRDefault="005021AB">
            <w:r>
              <w:rPr>
                <w:rFonts w:ascii="Times New Roman" w:hAnsi="Times New Roman" w:cs="Times New Roman"/>
                <w:color w:val="000000"/>
                <w:shd w:val="clear" w:color="auto" w:fill="FFFFFF"/>
              </w:rPr>
              <w:t>Classification</w:t>
            </w:r>
          </w:p>
        </w:tc>
        <w:tc>
          <w:tcPr>
            <w:tcW w:w="8280" w:type="dxa"/>
          </w:tcPr>
          <w:p w:rsidR="00C61031" w:rsidRPr="006A6B3F" w:rsidRDefault="005021A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Details</w:t>
            </w:r>
          </w:p>
        </w:tc>
      </w:tr>
      <w:tr w:rsidR="005021AB" w:rsidTr="002559AA">
        <w:tc>
          <w:tcPr>
            <w:tcW w:w="2610" w:type="dxa"/>
          </w:tcPr>
          <w:p w:rsidR="005021AB" w:rsidRDefault="005021AB" w:rsidP="005021AB">
            <w:r>
              <w:rPr>
                <w:rFonts w:ascii="Times New Roman" w:hAnsi="Times New Roman" w:cs="Times New Roman"/>
                <w:color w:val="000000"/>
                <w:shd w:val="clear" w:color="auto" w:fill="FFFFFF"/>
              </w:rPr>
              <w:t>Antitus</w:t>
            </w:r>
            <w:r>
              <w:rPr>
                <w:rFonts w:ascii="Times New Roman" w:hAnsi="Times New Roman" w:cs="Times New Roman" w:hint="eastAsia"/>
                <w:color w:val="000000"/>
                <w:shd w:val="clear" w:color="auto" w:fill="FFFFFF"/>
              </w:rPr>
              <w:t>s</w:t>
            </w:r>
            <w:r>
              <w:rPr>
                <w:rFonts w:ascii="Times New Roman" w:hAnsi="Times New Roman" w:cs="Times New Roman"/>
                <w:color w:val="000000"/>
                <w:shd w:val="clear" w:color="auto" w:fill="FFFFFF"/>
              </w:rPr>
              <w:t>ives</w:t>
            </w:r>
          </w:p>
        </w:tc>
        <w:tc>
          <w:tcPr>
            <w:tcW w:w="8280" w:type="dxa"/>
          </w:tcPr>
          <w:p w:rsidR="005021AB" w:rsidRPr="006A6B3F" w:rsidRDefault="00A4731A" w:rsidP="005021A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w:t>
            </w:r>
            <w:r w:rsidR="005021AB">
              <w:rPr>
                <w:rFonts w:ascii="Times New Roman" w:hAnsi="Times New Roman" w:cs="Times New Roman"/>
                <w:color w:val="000000"/>
                <w:shd w:val="clear" w:color="auto" w:fill="FFFFFF"/>
              </w:rPr>
              <w:t>odeine</w:t>
            </w:r>
            <w:r>
              <w:rPr>
                <w:rFonts w:ascii="Times New Roman" w:hAnsi="Times New Roman" w:cs="Times New Roman"/>
                <w:color w:val="000000"/>
                <w:shd w:val="clear" w:color="auto" w:fill="FFFFFF"/>
              </w:rPr>
              <w:t xml:space="preserve"> (*</w:t>
            </w:r>
            <w:r w:rsidR="00291526">
              <w:rPr>
                <w:rFonts w:ascii="Times New Roman" w:hAnsi="Times New Roman" w:cs="Times New Roman"/>
                <w:color w:val="000000"/>
                <w:shd w:val="clear" w:color="auto" w:fill="FFFFFF"/>
              </w:rPr>
              <w:t>55</w:t>
            </w:r>
            <w:r>
              <w:rPr>
                <w:rFonts w:ascii="Times New Roman" w:hAnsi="Times New Roman" w:cs="Times New Roman"/>
                <w:color w:val="000000"/>
                <w:shd w:val="clear" w:color="auto" w:fill="FFFFFF"/>
              </w:rPr>
              <w:t xml:space="preserve"> obse</w:t>
            </w:r>
            <w:r w:rsidR="00C95CF6">
              <w:rPr>
                <w:rFonts w:ascii="Times New Roman" w:hAnsi="Times New Roman" w:cs="Times New Roman"/>
                <w:color w:val="000000"/>
                <w:shd w:val="clear" w:color="auto" w:fill="FFFFFF"/>
              </w:rPr>
              <w:t>r</w:t>
            </w:r>
            <w:r>
              <w:rPr>
                <w:rFonts w:ascii="Times New Roman" w:hAnsi="Times New Roman" w:cs="Times New Roman"/>
                <w:color w:val="000000"/>
                <w:shd w:val="clear" w:color="auto" w:fill="FFFFFF"/>
              </w:rPr>
              <w:t>vation</w:t>
            </w:r>
            <w:r w:rsidR="00C95CF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excluded</w:t>
            </w:r>
            <w:r w:rsidR="00C95CF6">
              <w:rPr>
                <w:rFonts w:ascii="Times New Roman" w:hAnsi="Times New Roman" w:cs="Times New Roman"/>
                <w:color w:val="000000"/>
                <w:shd w:val="clear" w:color="auto" w:fill="FFFFFF"/>
              </w:rPr>
              <w:t xml:space="preserve"> from the analyses</w:t>
            </w:r>
            <w:r w:rsidR="005021AB">
              <w:rPr>
                <w:rFonts w:ascii="Times New Roman" w:hAnsi="Times New Roman" w:cs="Times New Roman"/>
                <w:color w:val="000000"/>
                <w:shd w:val="clear" w:color="auto" w:fill="FFFFFF"/>
              </w:rPr>
              <w:t>)</w:t>
            </w:r>
            <w:r w:rsidR="00880E41">
              <w:rPr>
                <w:rFonts w:ascii="Times New Roman" w:hAnsi="Times New Roman" w:cs="Times New Roman"/>
                <w:color w:val="000000"/>
                <w:shd w:val="clear" w:color="auto" w:fill="FFFFFF"/>
              </w:rPr>
              <w:t xml:space="preserve">, </w:t>
            </w:r>
            <w:r w:rsidR="00A04B4C">
              <w:rPr>
                <w:rFonts w:ascii="Times New Roman" w:hAnsi="Times New Roman" w:cs="Times New Roman"/>
                <w:color w:val="000000"/>
                <w:shd w:val="clear" w:color="auto" w:fill="FFFFFF"/>
              </w:rPr>
              <w:t>d</w:t>
            </w:r>
            <w:r w:rsidR="005021AB">
              <w:rPr>
                <w:rFonts w:ascii="Times New Roman" w:hAnsi="Times New Roman" w:cs="Times New Roman"/>
                <w:color w:val="000000"/>
                <w:shd w:val="clear" w:color="auto" w:fill="FFFFFF"/>
              </w:rPr>
              <w:t>extromet</w:t>
            </w:r>
            <w:r w:rsidR="00B87757">
              <w:rPr>
                <w:rFonts w:ascii="Times New Roman" w:hAnsi="Times New Roman" w:cs="Times New Roman"/>
                <w:color w:val="000000"/>
                <w:shd w:val="clear" w:color="auto" w:fill="FFFFFF"/>
              </w:rPr>
              <w:t>h</w:t>
            </w:r>
            <w:r w:rsidR="005021AB">
              <w:rPr>
                <w:rFonts w:ascii="Times New Roman" w:hAnsi="Times New Roman" w:cs="Times New Roman"/>
                <w:color w:val="000000"/>
                <w:shd w:val="clear" w:color="auto" w:fill="FFFFFF"/>
              </w:rPr>
              <w:t xml:space="preserve">orphan hydrobromide </w:t>
            </w:r>
            <w:proofErr w:type="spellStart"/>
            <w:r w:rsidR="005021AB">
              <w:rPr>
                <w:rFonts w:ascii="Times New Roman" w:hAnsi="Times New Roman" w:cs="Times New Roman"/>
                <w:color w:val="000000"/>
                <w:shd w:val="clear" w:color="auto" w:fill="FFFFFF"/>
              </w:rPr>
              <w:t>hidrate</w:t>
            </w:r>
            <w:proofErr w:type="spellEnd"/>
            <w:r w:rsidR="00880E41">
              <w:rPr>
                <w:rFonts w:ascii="Times New Roman" w:hAnsi="Times New Roman" w:cs="Times New Roman"/>
                <w:color w:val="000000"/>
                <w:shd w:val="clear" w:color="auto" w:fill="FFFFFF"/>
              </w:rPr>
              <w:t xml:space="preserve">. </w:t>
            </w:r>
            <w:r w:rsidR="00A04B4C">
              <w:rPr>
                <w:rFonts w:ascii="Times New Roman" w:hAnsi="Times New Roman" w:cs="Times New Roman"/>
                <w:color w:val="000000"/>
                <w:shd w:val="clear" w:color="auto" w:fill="FFFFFF"/>
              </w:rPr>
              <w:t>t</w:t>
            </w:r>
            <w:r w:rsidR="005021AB">
              <w:rPr>
                <w:rFonts w:ascii="Times New Roman" w:hAnsi="Times New Roman" w:cs="Times New Roman" w:hint="eastAsia"/>
                <w:color w:val="000000"/>
                <w:shd w:val="clear" w:color="auto" w:fill="FFFFFF"/>
              </w:rPr>
              <w:t>i</w:t>
            </w:r>
            <w:r w:rsidR="005021AB">
              <w:rPr>
                <w:rFonts w:ascii="Times New Roman" w:hAnsi="Times New Roman" w:cs="Times New Roman"/>
                <w:color w:val="000000"/>
                <w:shd w:val="clear" w:color="auto" w:fill="FFFFFF"/>
              </w:rPr>
              <w:t xml:space="preserve">pepidine </w:t>
            </w:r>
            <w:proofErr w:type="spellStart"/>
            <w:r w:rsidR="005021AB">
              <w:rPr>
                <w:rFonts w:ascii="Times New Roman" w:hAnsi="Times New Roman" w:cs="Times New Roman"/>
                <w:color w:val="000000"/>
                <w:shd w:val="clear" w:color="auto" w:fill="FFFFFF"/>
              </w:rPr>
              <w:t>hibenzate</w:t>
            </w:r>
            <w:proofErr w:type="spellEnd"/>
            <w:r w:rsidR="00880E41">
              <w:rPr>
                <w:rFonts w:ascii="Times New Roman" w:hAnsi="Times New Roman" w:cs="Times New Roman"/>
                <w:color w:val="000000"/>
                <w:shd w:val="clear" w:color="auto" w:fill="FFFFFF"/>
              </w:rPr>
              <w:t xml:space="preserve">, </w:t>
            </w:r>
            <w:r w:rsidR="00A04B4C">
              <w:rPr>
                <w:rFonts w:ascii="Times New Roman" w:hAnsi="Times New Roman" w:cs="Times New Roman"/>
                <w:color w:val="000000"/>
                <w:shd w:val="clear" w:color="auto" w:fill="FFFFFF"/>
              </w:rPr>
              <w:t>o</w:t>
            </w:r>
            <w:r w:rsidR="005021AB">
              <w:rPr>
                <w:rFonts w:ascii="Times New Roman" w:hAnsi="Times New Roman" w:cs="Times New Roman"/>
                <w:color w:val="000000"/>
                <w:shd w:val="clear" w:color="auto" w:fill="FFFFFF"/>
              </w:rPr>
              <w:t>thers (</w:t>
            </w:r>
            <w:proofErr w:type="spellStart"/>
            <w:r w:rsidR="005021AB">
              <w:rPr>
                <w:rFonts w:ascii="Times New Roman" w:hAnsi="Times New Roman" w:cs="Times New Roman"/>
                <w:color w:val="000000"/>
                <w:shd w:val="clear" w:color="auto" w:fill="FFFFFF"/>
              </w:rPr>
              <w:t>dimemorphan</w:t>
            </w:r>
            <w:proofErr w:type="spellEnd"/>
            <w:r w:rsidR="005021AB">
              <w:rPr>
                <w:rFonts w:ascii="Times New Roman" w:hAnsi="Times New Roman" w:cs="Times New Roman"/>
                <w:color w:val="000000"/>
                <w:shd w:val="clear" w:color="auto" w:fill="FFFFFF"/>
              </w:rPr>
              <w:t xml:space="preserve"> phosphate, eprazinone hydrochloride,  pentoxyverine citrate, </w:t>
            </w:r>
            <w:proofErr w:type="spellStart"/>
            <w:r w:rsidR="005021AB">
              <w:rPr>
                <w:rFonts w:ascii="Times New Roman" w:hAnsi="Times New Roman" w:cs="Times New Roman"/>
                <w:color w:val="000000"/>
                <w:shd w:val="clear" w:color="auto" w:fill="FFFFFF"/>
              </w:rPr>
              <w:t>cloperastine</w:t>
            </w:r>
            <w:proofErr w:type="spellEnd"/>
            <w:r w:rsidR="005021AB">
              <w:rPr>
                <w:rFonts w:ascii="Times New Roman" w:hAnsi="Times New Roman" w:cs="Times New Roman"/>
                <w:color w:val="000000"/>
                <w:shd w:val="clear" w:color="auto" w:fill="FFFFFF"/>
              </w:rPr>
              <w:t>, clofedanol, noscapine, guaifenesin</w:t>
            </w:r>
            <w:r w:rsidR="00B87757">
              <w:rPr>
                <w:rFonts w:ascii="Times New Roman" w:hAnsi="Times New Roman" w:cs="Times New Roman"/>
                <w:color w:val="000000"/>
                <w:shd w:val="clear" w:color="auto" w:fill="FFFFFF"/>
              </w:rPr>
              <w:t xml:space="preserve">, </w:t>
            </w:r>
            <w:proofErr w:type="spellStart"/>
            <w:r w:rsidR="00B87757">
              <w:t>Senega</w:t>
            </w:r>
            <w:proofErr w:type="spellEnd"/>
            <w:r w:rsidR="00B87757">
              <w:rPr>
                <w:rFonts w:hint="eastAsia"/>
              </w:rPr>
              <w:t>®︎</w:t>
            </w:r>
            <w:r w:rsidR="00B87757">
              <w:t>, cheery bark extract</w:t>
            </w:r>
            <w:r w:rsidR="005021AB">
              <w:rPr>
                <w:rFonts w:ascii="Times New Roman" w:hAnsi="Times New Roman" w:cs="Times New Roman"/>
                <w:color w:val="000000"/>
                <w:shd w:val="clear" w:color="auto" w:fill="FFFFFF"/>
              </w:rPr>
              <w:t>)</w:t>
            </w:r>
          </w:p>
        </w:tc>
      </w:tr>
      <w:tr w:rsidR="00C61031" w:rsidTr="002559AA">
        <w:tc>
          <w:tcPr>
            <w:tcW w:w="2610" w:type="dxa"/>
          </w:tcPr>
          <w:p w:rsidR="00C61031" w:rsidRDefault="00CE7482">
            <w:r>
              <w:t>Mucolytics</w:t>
            </w:r>
          </w:p>
        </w:tc>
        <w:tc>
          <w:tcPr>
            <w:tcW w:w="8280" w:type="dxa"/>
          </w:tcPr>
          <w:p w:rsidR="00C61031" w:rsidRDefault="00CF254C">
            <w:r>
              <w:t>L-cysteine hydrochl</w:t>
            </w:r>
            <w:r w:rsidR="00D13ABB">
              <w:t>or</w:t>
            </w:r>
            <w:r>
              <w:rPr>
                <w:rFonts w:hint="eastAsia"/>
              </w:rPr>
              <w:t>i</w:t>
            </w:r>
            <w:r>
              <w:t xml:space="preserve">de, bromhexine hydrochloride, </w:t>
            </w:r>
            <w:proofErr w:type="spellStart"/>
            <w:r>
              <w:t>dornasealfa</w:t>
            </w:r>
            <w:proofErr w:type="spellEnd"/>
            <w:r>
              <w:t xml:space="preserve">, </w:t>
            </w:r>
            <w:proofErr w:type="spellStart"/>
            <w:r>
              <w:t>carbocisteine</w:t>
            </w:r>
            <w:proofErr w:type="spellEnd"/>
            <w:r>
              <w:t xml:space="preserve">, </w:t>
            </w:r>
            <w:proofErr w:type="spellStart"/>
            <w:r>
              <w:t>fudosteine</w:t>
            </w:r>
            <w:proofErr w:type="spellEnd"/>
          </w:p>
        </w:tc>
      </w:tr>
      <w:tr w:rsidR="00C61031" w:rsidTr="002559AA">
        <w:tc>
          <w:tcPr>
            <w:tcW w:w="2610" w:type="dxa"/>
          </w:tcPr>
          <w:p w:rsidR="00C61031" w:rsidRDefault="00CF254C">
            <w:r>
              <w:t>Airway lubricant</w:t>
            </w:r>
          </w:p>
        </w:tc>
        <w:tc>
          <w:tcPr>
            <w:tcW w:w="8280" w:type="dxa"/>
          </w:tcPr>
          <w:p w:rsidR="00C61031" w:rsidRDefault="00CF254C">
            <w:proofErr w:type="spellStart"/>
            <w:r>
              <w:t>Ambroxol</w:t>
            </w:r>
            <w:proofErr w:type="spellEnd"/>
            <w:r>
              <w:t xml:space="preserve"> hydrochloride</w:t>
            </w:r>
          </w:p>
        </w:tc>
      </w:tr>
      <w:tr w:rsidR="00C61031" w:rsidTr="002559AA">
        <w:tc>
          <w:tcPr>
            <w:tcW w:w="2610" w:type="dxa"/>
          </w:tcPr>
          <w:p w:rsidR="00C61031" w:rsidRDefault="000E728E">
            <w:r>
              <w:t>First-gene</w:t>
            </w:r>
            <w:r w:rsidR="00D13ABB">
              <w:t>r</w:t>
            </w:r>
            <w:r>
              <w:t>ation antihistamine</w:t>
            </w:r>
            <w:r w:rsidR="00E931B1">
              <w:fldChar w:fldCharType="begin" w:fldLock="1"/>
            </w:r>
            <w:r w:rsidR="00E931B1">
              <w:instrText>ADDIN CSL_CITATION {"citationItems":[{"id":"ITEM-1","itemData":{"DOI":"10.1016/j.pharmthera.2017.04.004","ISSN":"1879016X","abstract":"We previously reported on brain H1 receptor occupancy measurements of antihistamines in human brain using [11C]doxepin and positron emission tomography (PET). We proposed the use of brain H1 receptor occupancy to classify antihistamines objectively into three categories of sedating, less-sedating, and non-sedating antihistamines according to their sedative effects. Non-sedating antihistamines are recommended for the treatment of allergies such as pollinosis and atopic dermatitis because of their low penetration into the central nervous system. Physicians and pharmacists are responsible for fully educating patients about the risks of sedating antihistamines from pharmacological points of view. If a sedating antihistamine must be prescribed, its sedative effects should be thoroughly considered before choosing the drug. Non-sedating antihistamines should be preferentially used whenever possible as most antihistamines are equally efficacious, while adverse effects of sedating antihistamines can be serious. This review summarizes the pharmacological properties of clinically useful non-sedating antihistamines from the perspective of histamine function in the CNS.","author":[{"dropping-particle":"","family":"Yanai","given":"Kazuhiko","non-dropping-particle":"","parse-names":false,"suffix":""},{"dropping-particle":"","family":"Yoshikawa","given":"Takeo","non-dropping-particle":"","parse-names":false,"suffix":""},{"dropping-particle":"","family":"Yanai","given":"Ai","non-dropping-particle":"","parse-names":false,"suffix":""},{"dropping-particle":"","family":"Nakamura","given":"Tadaho","non-dropping-particle":"","parse-names":false,"suffix":""},{"dropping-particle":"","family":"Iida","given":"Tomomitsu","non-dropping-particle":"","parse-names":false,"suffix":""},{"dropping-particle":"","family":"Leurs","given":"Rob","non-dropping-particle":"","parse-names":false,"suffix":""},{"dropping-particle":"","family":"Tashiro","given":"Manabu","non-dropping-particle":"","parse-names":false,"suffix":""}],"container-title":"Pharmacology and Therapeutics","id":"ITEM-1","issued":{"date-parts":[["2017"]]},"page":"148-156","publisher":"Elsevier Inc.","title":"The clinical pharmacology of non-sedating antihistamines","type":"article-journal","volume":"178"},"uris":["http://www.mendeley.com/documents/?uuid=317d5059-ee09-44eb-b788-cdc7678862b9"]}],"mendeley":{"formattedCitation":"&lt;sup&gt;1&lt;/sup&gt;","plainTextFormattedCitation":"1"},"properties":{"noteIndex":0},"schema":"https://github.com/citation-style-language/schema/raw/master/csl-citation.json"}</w:instrText>
            </w:r>
            <w:r w:rsidR="00E931B1">
              <w:fldChar w:fldCharType="separate"/>
            </w:r>
            <w:r w:rsidR="00E931B1" w:rsidRPr="00E931B1">
              <w:rPr>
                <w:noProof/>
                <w:vertAlign w:val="superscript"/>
              </w:rPr>
              <w:t>1</w:t>
            </w:r>
            <w:r w:rsidR="00E931B1">
              <w:fldChar w:fldCharType="end"/>
            </w:r>
          </w:p>
        </w:tc>
        <w:tc>
          <w:tcPr>
            <w:tcW w:w="8280" w:type="dxa"/>
          </w:tcPr>
          <w:p w:rsidR="00C61031" w:rsidRDefault="00555358">
            <w:r>
              <w:t>Diphen</w:t>
            </w:r>
            <w:r w:rsidR="00D13ABB">
              <w:t>h</w:t>
            </w:r>
            <w:r>
              <w:t xml:space="preserve">ydramine, </w:t>
            </w:r>
            <w:proofErr w:type="spellStart"/>
            <w:r>
              <w:t>clemastine</w:t>
            </w:r>
            <w:proofErr w:type="spellEnd"/>
            <w:r>
              <w:t xml:space="preserve"> fumarate, chlorpheniramine maleate, promethazine hydrochloride, alimemazine tartrate, hydroxyzine, homochlorcyclizine hydrochloride, cyproheptadine hydrochloride</w:t>
            </w:r>
          </w:p>
        </w:tc>
      </w:tr>
      <w:tr w:rsidR="00C61031" w:rsidTr="002559AA">
        <w:tc>
          <w:tcPr>
            <w:tcW w:w="2610" w:type="dxa"/>
          </w:tcPr>
          <w:p w:rsidR="00C61031" w:rsidRDefault="00E24A04">
            <w:r>
              <w:t>Second-generation sedative antihistamine</w:t>
            </w:r>
            <w:r w:rsidR="00E931B1">
              <w:fldChar w:fldCharType="begin" w:fldLock="1"/>
            </w:r>
            <w:r w:rsidR="00E931B1">
              <w:instrText>ADDIN CSL_CITATION {"citationItems":[{"id":"ITEM-1","itemData":{"DOI":"10.1016/j.pharmthera.2017.04.004","ISSN":"1879016X","abstract":"We previously reported on brain H1 receptor occupancy measurements of antihistamines in human brain using [11C]doxepin and positron emission tomography (PET). We proposed the use of brain H1 receptor occupancy to classify antihistamines objectively into three categories of sedating, less-sedating, and non-sedating antihistamines according to their sedative effects. Non-sedating antihistamines are recommended for the treatment of allergies such as pollinosis and atopic dermatitis because of their low penetration into the central nervous system. Physicians and pharmacists are responsible for fully educating patients about the risks of sedating antihistamines from pharmacological points of view. If a sedating antihistamine must be prescribed, its sedative effects should be thoroughly considered before choosing the drug. Non-sedating antihistamines should be preferentially used whenever possible as most antihistamines are equally efficacious, while adverse effects of sedating antihistamines can be serious. This review summarizes the pharmacological properties of clinically useful non-sedating antihistamines from the perspective of histamine function in the CNS.","author":[{"dropping-particle":"","family":"Yanai","given":"Kazuhiko","non-dropping-particle":"","parse-names":false,"suffix":""},{"dropping-particle":"","family":"Yoshikawa","given":"Takeo","non-dropping-particle":"","parse-names":false,"suffix":""},{"dropping-particle":"","family":"Yanai","given":"Ai","non-dropping-particle":"","parse-names":false,"suffix":""},{"dropping-particle":"","family":"Nakamura","given":"Tadaho","non-dropping-particle":"","parse-names":false,"suffix":""},{"dropping-particle":"","family":"Iida","given":"Tomomitsu","non-dropping-particle":"","parse-names":false,"suffix":""},{"dropping-particle":"","family":"Leurs","given":"Rob","non-dropping-particle":"","parse-names":false,"suffix":""},{"dropping-particle":"","family":"Tashiro","given":"Manabu","non-dropping-particle":"","parse-names":false,"suffix":""}],"container-title":"Pharmacology and Therapeutics","id":"ITEM-1","issued":{"date-parts":[["2017"]]},"page":"148-156","publisher":"Elsevier Inc.","title":"The clinical pharmacology of non-sedating antihistamines","type":"article-journal","volume":"178"},"uris":["http://www.mendeley.com/documents/?uuid=317d5059-ee09-44eb-b788-cdc7678862b9"]}],"mendeley":{"formattedCitation":"&lt;sup&gt;1&lt;/sup&gt;","plainTextFormattedCitation":"1"},"properties":{"noteIndex":0},"schema":"https://github.com/citation-style-language/schema/raw/master/csl-citation.json"}</w:instrText>
            </w:r>
            <w:r w:rsidR="00E931B1">
              <w:fldChar w:fldCharType="separate"/>
            </w:r>
            <w:r w:rsidR="00E931B1" w:rsidRPr="00E931B1">
              <w:rPr>
                <w:noProof/>
                <w:vertAlign w:val="superscript"/>
              </w:rPr>
              <w:t>1</w:t>
            </w:r>
            <w:r w:rsidR="00E931B1">
              <w:fldChar w:fldCharType="end"/>
            </w:r>
          </w:p>
        </w:tc>
        <w:tc>
          <w:tcPr>
            <w:tcW w:w="8280" w:type="dxa"/>
          </w:tcPr>
          <w:p w:rsidR="00C61031" w:rsidRDefault="00E931B1">
            <w:r>
              <w:t>Ketotifen fumarate, azelastine hydrochloride, oxa</w:t>
            </w:r>
            <w:r w:rsidR="00D13ABB">
              <w:t>t</w:t>
            </w:r>
            <w:r>
              <w:t>omide, mequitazine</w:t>
            </w:r>
          </w:p>
        </w:tc>
      </w:tr>
      <w:tr w:rsidR="00C61031" w:rsidTr="002559AA">
        <w:tc>
          <w:tcPr>
            <w:tcW w:w="2610" w:type="dxa"/>
          </w:tcPr>
          <w:p w:rsidR="00C61031" w:rsidRDefault="00E931B1">
            <w:r>
              <w:t>Second-generation non</w:t>
            </w:r>
            <w:r w:rsidR="00D13ABB">
              <w:t>-</w:t>
            </w:r>
            <w:r>
              <w:br/>
              <w:t>sedative antihistamine</w:t>
            </w:r>
            <w:r>
              <w:fldChar w:fldCharType="begin" w:fldLock="1"/>
            </w:r>
            <w:r>
              <w:instrText>ADDIN CSL_CITATION {"citationItems":[{"id":"ITEM-1","itemData":{"DOI":"10.1016/j.pharmthera.2017.04.004","ISSN":"1879016X","abstract":"We previously reported on brain H1 receptor occupancy measurements of antihistamines in human brain using [11C]doxepin and positron emission tomography (PET). We proposed the use of brain H1 receptor occupancy to classify antihistamines objectively into three categories of sedating, less-sedating, and non-sedating antihistamines according to their sedative effects. Non-sedating antihistamines are recommended for the treatment of allergies such as pollinosis and atopic dermatitis because of their low penetration into the central nervous system. Physicians and pharmacists are responsible for fully educating patients about the risks of sedating antihistamines from pharmacological points of view. If a sedating antihistamine must be prescribed, its sedative effects should be thoroughly considered before choosing the drug. Non-sedating antihistamines should be preferentially used whenever possible as most antihistamines are equally efficacious, while adverse effects of sedating antihistamines can be serious. This review summarizes the pharmacological properties of clinically useful non-sedating antihistamines from the perspective of histamine function in the CNS.","author":[{"dropping-particle":"","family":"Yanai","given":"Kazuhiko","non-dropping-particle":"","parse-names":false,"suffix":""},{"dropping-particle":"","family":"Yoshikawa","given":"Takeo","non-dropping-particle":"","parse-names":false,"suffix":""},{"dropping-particle":"","family":"Yanai","given":"Ai","non-dropping-particle":"","parse-names":false,"suffix":""},{"dropping-particle":"","family":"Nakamura","given":"Tadaho","non-dropping-particle":"","parse-names":false,"suffix":""},{"dropping-particle":"","family":"Iida","given":"Tomomitsu","non-dropping-particle":"","parse-names":false,"suffix":""},{"dropping-particle":"","family":"Leurs","given":"Rob","non-dropping-particle":"","parse-names":false,"suffix":""},{"dropping-particle":"","family":"Tashiro","given":"Manabu","non-dropping-particle":"","parse-names":false,"suffix":""}],"container-title":"Pharmacology and Therapeutics","id":"ITEM-1","issued":{"date-parts":[["2017"]]},"page":"148-156","publisher":"Elsevier Inc.","title":"The clinical pharmacology of non-sedating antihistamines","type":"article-journal","volume":"178"},"uris":["http://www.mendeley.com/documents/?uuid=317d5059-ee09-44eb-b788-cdc7678862b9"]}],"mendeley":{"formattedCitation":"&lt;sup&gt;1&lt;/sup&gt;","plainTextFormattedCitation":"1"},"properties":{"noteIndex":0},"schema":"https://github.com/citation-style-language/schema/raw/master/csl-citation.json"}</w:instrText>
            </w:r>
            <w:r>
              <w:fldChar w:fldCharType="separate"/>
            </w:r>
            <w:r w:rsidRPr="00E931B1">
              <w:rPr>
                <w:noProof/>
                <w:vertAlign w:val="superscript"/>
              </w:rPr>
              <w:t>1</w:t>
            </w:r>
            <w:r>
              <w:fldChar w:fldCharType="end"/>
            </w:r>
          </w:p>
        </w:tc>
        <w:tc>
          <w:tcPr>
            <w:tcW w:w="8280" w:type="dxa"/>
          </w:tcPr>
          <w:p w:rsidR="00C61031" w:rsidRDefault="0073214E">
            <w:r>
              <w:t xml:space="preserve">Fexofenadine hydrochloride, </w:t>
            </w:r>
            <w:proofErr w:type="spellStart"/>
            <w:r w:rsidR="00A27C5B">
              <w:t>epinastine</w:t>
            </w:r>
            <w:proofErr w:type="spellEnd"/>
            <w:r w:rsidR="00A27C5B">
              <w:t xml:space="preserve"> hydrochloride, </w:t>
            </w:r>
            <w:proofErr w:type="spellStart"/>
            <w:r w:rsidR="00A27C5B">
              <w:t>ebastine</w:t>
            </w:r>
            <w:proofErr w:type="spellEnd"/>
            <w:r w:rsidR="00A27C5B">
              <w:t xml:space="preserve">, </w:t>
            </w:r>
            <w:proofErr w:type="spellStart"/>
            <w:r w:rsidR="00A27C5B">
              <w:t>cetiridine</w:t>
            </w:r>
            <w:proofErr w:type="spellEnd"/>
            <w:r w:rsidR="00A27C5B">
              <w:t xml:space="preserve"> hydrochloride, levocetirizine hydrochloride, </w:t>
            </w:r>
            <w:proofErr w:type="spellStart"/>
            <w:r w:rsidR="00A27C5B">
              <w:t>bepotastine</w:t>
            </w:r>
            <w:proofErr w:type="spellEnd"/>
            <w:r w:rsidR="00A27C5B">
              <w:t xml:space="preserve"> </w:t>
            </w:r>
            <w:proofErr w:type="spellStart"/>
            <w:r w:rsidR="00A27C5B">
              <w:t>besilate</w:t>
            </w:r>
            <w:proofErr w:type="spellEnd"/>
            <w:r w:rsidR="00A27C5B">
              <w:t xml:space="preserve">, </w:t>
            </w:r>
            <w:proofErr w:type="spellStart"/>
            <w:r w:rsidR="00A27C5B">
              <w:t>emedastine</w:t>
            </w:r>
            <w:proofErr w:type="spellEnd"/>
            <w:r w:rsidR="00A27C5B">
              <w:t xml:space="preserve"> fumarate, </w:t>
            </w:r>
            <w:proofErr w:type="spellStart"/>
            <w:r w:rsidR="00A27C5B">
              <w:t>olopadadine</w:t>
            </w:r>
            <w:proofErr w:type="spellEnd"/>
            <w:r w:rsidR="00A27C5B">
              <w:t xml:space="preserve"> hydrochloride, loratadine, desloratadine, </w:t>
            </w:r>
            <w:proofErr w:type="spellStart"/>
            <w:r w:rsidR="00A27C5B">
              <w:t>bilastine</w:t>
            </w:r>
            <w:proofErr w:type="spellEnd"/>
            <w:r w:rsidR="00A27C5B">
              <w:t xml:space="preserve"> rupatadine fumarate</w:t>
            </w:r>
          </w:p>
        </w:tc>
      </w:tr>
      <w:tr w:rsidR="00C61031" w:rsidTr="002559AA">
        <w:tc>
          <w:tcPr>
            <w:tcW w:w="2610" w:type="dxa"/>
          </w:tcPr>
          <w:p w:rsidR="00C61031" w:rsidRDefault="00AB37C0">
            <w:r>
              <w:t>Leukotriene receptor antagonist</w:t>
            </w:r>
          </w:p>
        </w:tc>
        <w:tc>
          <w:tcPr>
            <w:tcW w:w="8280" w:type="dxa"/>
          </w:tcPr>
          <w:p w:rsidR="00C61031" w:rsidRDefault="002530EE">
            <w:r>
              <w:t xml:space="preserve">Montelukast, </w:t>
            </w:r>
            <w:proofErr w:type="spellStart"/>
            <w:r>
              <w:t>pranlukast</w:t>
            </w:r>
            <w:proofErr w:type="spellEnd"/>
          </w:p>
        </w:tc>
      </w:tr>
      <w:tr w:rsidR="002530EE" w:rsidTr="002559AA">
        <w:tc>
          <w:tcPr>
            <w:tcW w:w="2610" w:type="dxa"/>
          </w:tcPr>
          <w:p w:rsidR="002530EE" w:rsidRDefault="00685D14">
            <w:r>
              <w:t>Other types of antiallergic medications</w:t>
            </w:r>
          </w:p>
        </w:tc>
        <w:tc>
          <w:tcPr>
            <w:tcW w:w="8280" w:type="dxa"/>
          </w:tcPr>
          <w:p w:rsidR="002530EE" w:rsidRDefault="00685D14">
            <w:r>
              <w:t>Thromboxane A1 receptor antagonist (</w:t>
            </w:r>
            <w:proofErr w:type="spellStart"/>
            <w:r>
              <w:t>seratrodast</w:t>
            </w:r>
            <w:proofErr w:type="spellEnd"/>
            <w:r>
              <w:t xml:space="preserve">, </w:t>
            </w:r>
            <w:proofErr w:type="spellStart"/>
            <w:r>
              <w:t>ramatroban</w:t>
            </w:r>
            <w:proofErr w:type="spellEnd"/>
            <w:r>
              <w:t>), Th2 cytokine inhibitors (</w:t>
            </w:r>
            <w:proofErr w:type="spellStart"/>
            <w:r>
              <w:t>suplatast</w:t>
            </w:r>
            <w:proofErr w:type="spellEnd"/>
            <w:r>
              <w:t xml:space="preserve"> </w:t>
            </w:r>
            <w:proofErr w:type="spellStart"/>
            <w:r>
              <w:t>tosilate</w:t>
            </w:r>
            <w:proofErr w:type="spellEnd"/>
            <w:r>
              <w:t xml:space="preserve">), mediator release inhibitors (sodium cromoglicate, </w:t>
            </w:r>
            <w:proofErr w:type="spellStart"/>
            <w:r>
              <w:t>tranilast</w:t>
            </w:r>
            <w:proofErr w:type="spellEnd"/>
            <w:r>
              <w:t xml:space="preserve">, </w:t>
            </w:r>
            <w:proofErr w:type="spellStart"/>
            <w:r>
              <w:t>amlexanox</w:t>
            </w:r>
            <w:proofErr w:type="spellEnd"/>
            <w:r>
              <w:t xml:space="preserve">, </w:t>
            </w:r>
            <w:proofErr w:type="spellStart"/>
            <w:r>
              <w:t>ibudilast</w:t>
            </w:r>
            <w:proofErr w:type="spellEnd"/>
            <w:r>
              <w:t xml:space="preserve">, </w:t>
            </w:r>
            <w:proofErr w:type="spellStart"/>
            <w:r>
              <w:t>pemirolast</w:t>
            </w:r>
            <w:proofErr w:type="spellEnd"/>
            <w:r>
              <w:t xml:space="preserve"> potassium)</w:t>
            </w:r>
          </w:p>
        </w:tc>
      </w:tr>
      <w:tr w:rsidR="00E31A41" w:rsidTr="002559AA">
        <w:tc>
          <w:tcPr>
            <w:tcW w:w="2610" w:type="dxa"/>
          </w:tcPr>
          <w:p w:rsidR="00E31A41" w:rsidRDefault="00E31A41">
            <w:r>
              <w:t>Xanthine</w:t>
            </w:r>
          </w:p>
        </w:tc>
        <w:tc>
          <w:tcPr>
            <w:tcW w:w="8280" w:type="dxa"/>
          </w:tcPr>
          <w:p w:rsidR="00E31A41" w:rsidRDefault="00E31A41">
            <w:r>
              <w:t xml:space="preserve">Theophylline, </w:t>
            </w:r>
            <w:proofErr w:type="spellStart"/>
            <w:r>
              <w:t>diprophylline</w:t>
            </w:r>
            <w:proofErr w:type="spellEnd"/>
            <w:r>
              <w:t>, proxyphylline, aminophylline</w:t>
            </w:r>
          </w:p>
        </w:tc>
      </w:tr>
      <w:tr w:rsidR="00051F8D" w:rsidTr="002559AA">
        <w:tc>
          <w:tcPr>
            <w:tcW w:w="2610" w:type="dxa"/>
          </w:tcPr>
          <w:p w:rsidR="00051F8D" w:rsidRDefault="00051F8D">
            <w:r>
              <w:t>Short-acting beta-stimulant inhaler</w:t>
            </w:r>
          </w:p>
        </w:tc>
        <w:tc>
          <w:tcPr>
            <w:tcW w:w="8280" w:type="dxa"/>
          </w:tcPr>
          <w:p w:rsidR="00051F8D" w:rsidRDefault="005021AB">
            <w:proofErr w:type="spellStart"/>
            <w:r>
              <w:t>I</w:t>
            </w:r>
            <w:r w:rsidR="004F0873">
              <w:t>soprenaline</w:t>
            </w:r>
            <w:proofErr w:type="spellEnd"/>
            <w:r w:rsidR="004F0873">
              <w:t xml:space="preserve"> hydrochloride</w:t>
            </w:r>
            <w:r w:rsidR="0028785E">
              <w:t xml:space="preserve">, salbutamol sulfate, </w:t>
            </w:r>
            <w:proofErr w:type="spellStart"/>
            <w:r w:rsidR="0028785E">
              <w:t>fenoterol</w:t>
            </w:r>
            <w:proofErr w:type="spellEnd"/>
            <w:r w:rsidR="0028785E">
              <w:t xml:space="preserve"> hydrobromide, procaterol hydrochloride, </w:t>
            </w:r>
          </w:p>
        </w:tc>
      </w:tr>
      <w:tr w:rsidR="0028785E" w:rsidTr="002559AA">
        <w:tc>
          <w:tcPr>
            <w:tcW w:w="2610" w:type="dxa"/>
          </w:tcPr>
          <w:p w:rsidR="0028785E" w:rsidRDefault="0028785E">
            <w:r>
              <w:t>Intravenous beta-stimulant</w:t>
            </w:r>
          </w:p>
        </w:tc>
        <w:tc>
          <w:tcPr>
            <w:tcW w:w="8280" w:type="dxa"/>
          </w:tcPr>
          <w:p w:rsidR="0028785E" w:rsidRDefault="005021AB">
            <w:proofErr w:type="spellStart"/>
            <w:r>
              <w:t>I</w:t>
            </w:r>
            <w:r w:rsidR="0028785E">
              <w:t>soprenaline</w:t>
            </w:r>
            <w:proofErr w:type="spellEnd"/>
            <w:r w:rsidR="0028785E">
              <w:t xml:space="preserve"> hydrochloride, terbutaline sulfate,</w:t>
            </w:r>
          </w:p>
        </w:tc>
      </w:tr>
      <w:tr w:rsidR="0028785E" w:rsidTr="002559AA">
        <w:tc>
          <w:tcPr>
            <w:tcW w:w="2610" w:type="dxa"/>
          </w:tcPr>
          <w:p w:rsidR="0028785E" w:rsidRDefault="0028785E">
            <w:r>
              <w:t>Oral beta-stimulant</w:t>
            </w:r>
          </w:p>
        </w:tc>
        <w:tc>
          <w:tcPr>
            <w:tcW w:w="8280" w:type="dxa"/>
          </w:tcPr>
          <w:p w:rsidR="0028785E" w:rsidRDefault="005021AB">
            <w:proofErr w:type="spellStart"/>
            <w:r>
              <w:t>I</w:t>
            </w:r>
            <w:r w:rsidR="0028785E">
              <w:t>soprenaline</w:t>
            </w:r>
            <w:proofErr w:type="spellEnd"/>
            <w:r w:rsidR="0028785E">
              <w:t xml:space="preserve"> hydrochloride, salbutamol sulfate, terbutaline sulfate, </w:t>
            </w:r>
            <w:proofErr w:type="spellStart"/>
            <w:r w:rsidR="0028785E">
              <w:t>fenoterol</w:t>
            </w:r>
            <w:proofErr w:type="spellEnd"/>
            <w:r w:rsidR="0028785E">
              <w:t xml:space="preserve"> hydrobromide, procaterol hydrochloride, </w:t>
            </w:r>
            <w:proofErr w:type="spellStart"/>
            <w:r w:rsidR="0028785E">
              <w:t>turobuterol</w:t>
            </w:r>
            <w:proofErr w:type="spellEnd"/>
          </w:p>
        </w:tc>
      </w:tr>
      <w:tr w:rsidR="0028785E" w:rsidTr="002559AA">
        <w:tc>
          <w:tcPr>
            <w:tcW w:w="2610" w:type="dxa"/>
          </w:tcPr>
          <w:p w:rsidR="0028785E" w:rsidRDefault="0028785E">
            <w:r>
              <w:t>Tape beta-stimulant</w:t>
            </w:r>
          </w:p>
        </w:tc>
        <w:tc>
          <w:tcPr>
            <w:tcW w:w="8280" w:type="dxa"/>
          </w:tcPr>
          <w:p w:rsidR="0028785E" w:rsidRDefault="0028785E">
            <w:proofErr w:type="spellStart"/>
            <w:r>
              <w:t>Turobuterol</w:t>
            </w:r>
            <w:proofErr w:type="spellEnd"/>
          </w:p>
        </w:tc>
      </w:tr>
      <w:tr w:rsidR="0028785E" w:rsidTr="002559AA">
        <w:tc>
          <w:tcPr>
            <w:tcW w:w="2610" w:type="dxa"/>
          </w:tcPr>
          <w:p w:rsidR="0028785E" w:rsidRDefault="0028785E">
            <w:r>
              <w:t>Inhaled corticosteroid</w:t>
            </w:r>
          </w:p>
        </w:tc>
        <w:tc>
          <w:tcPr>
            <w:tcW w:w="8280" w:type="dxa"/>
          </w:tcPr>
          <w:p w:rsidR="0028785E" w:rsidRDefault="0028785E">
            <w:r>
              <w:t>Beclomet</w:t>
            </w:r>
            <w:r w:rsidR="00B96EF0">
              <w:t>h</w:t>
            </w:r>
            <w:r>
              <w:t xml:space="preserve">asone </w:t>
            </w:r>
            <w:proofErr w:type="spellStart"/>
            <w:r>
              <w:t>dipropionate</w:t>
            </w:r>
            <w:proofErr w:type="spellEnd"/>
            <w:r>
              <w:t xml:space="preserve">, fluticasone propionate, budesonide, </w:t>
            </w:r>
            <w:proofErr w:type="spellStart"/>
            <w:r>
              <w:t>ciclesonide</w:t>
            </w:r>
            <w:proofErr w:type="spellEnd"/>
            <w:r>
              <w:t xml:space="preserve">, mometasone </w:t>
            </w:r>
            <w:proofErr w:type="spellStart"/>
            <w:r>
              <w:t>furoate</w:t>
            </w:r>
            <w:proofErr w:type="spellEnd"/>
            <w:r>
              <w:t xml:space="preserve">, fluticasone </w:t>
            </w:r>
            <w:proofErr w:type="spellStart"/>
            <w:r>
              <w:t>furoate</w:t>
            </w:r>
            <w:proofErr w:type="spellEnd"/>
          </w:p>
        </w:tc>
      </w:tr>
      <w:tr w:rsidR="0028785E" w:rsidTr="002559AA">
        <w:tc>
          <w:tcPr>
            <w:tcW w:w="2610" w:type="dxa"/>
          </w:tcPr>
          <w:p w:rsidR="0028785E" w:rsidRDefault="0028785E">
            <w:r>
              <w:t>Long-acting beta-stimulant in</w:t>
            </w:r>
            <w:r w:rsidR="00B87757">
              <w:t>h</w:t>
            </w:r>
            <w:r>
              <w:t>aler</w:t>
            </w:r>
          </w:p>
        </w:tc>
        <w:tc>
          <w:tcPr>
            <w:tcW w:w="8280" w:type="dxa"/>
          </w:tcPr>
          <w:p w:rsidR="0028785E" w:rsidRDefault="0028785E">
            <w:proofErr w:type="spellStart"/>
            <w:r>
              <w:t>Clebuterol</w:t>
            </w:r>
            <w:proofErr w:type="spellEnd"/>
            <w:r>
              <w:t xml:space="preserve"> hydrochloride, salmeterol xinafoate, indacaterol malate, formoterol fumarate hydrate</w:t>
            </w:r>
            <w:r w:rsidR="00A4731A">
              <w:t xml:space="preserve"> (*</w:t>
            </w:r>
            <w:r w:rsidR="00291526">
              <w:t>8</w:t>
            </w:r>
            <w:r w:rsidR="00A4731A">
              <w:t xml:space="preserve"> observations were excluded)</w:t>
            </w:r>
          </w:p>
        </w:tc>
      </w:tr>
      <w:tr w:rsidR="0028785E" w:rsidTr="002559AA">
        <w:tc>
          <w:tcPr>
            <w:tcW w:w="2610" w:type="dxa"/>
          </w:tcPr>
          <w:p w:rsidR="0028785E" w:rsidRDefault="0028785E">
            <w:r>
              <w:t>Anticholinergics inhalers</w:t>
            </w:r>
          </w:p>
        </w:tc>
        <w:tc>
          <w:tcPr>
            <w:tcW w:w="8280" w:type="dxa"/>
          </w:tcPr>
          <w:p w:rsidR="0028785E" w:rsidRDefault="0028785E">
            <w:r>
              <w:t xml:space="preserve">Tiotropium bromide hydrate, </w:t>
            </w:r>
            <w:proofErr w:type="spellStart"/>
            <w:r>
              <w:t>glycopyronium</w:t>
            </w:r>
            <w:proofErr w:type="spellEnd"/>
            <w:r>
              <w:t xml:space="preserve"> bromide, aclidinium bromide, </w:t>
            </w:r>
            <w:proofErr w:type="spellStart"/>
            <w:r>
              <w:t>umeclidinium</w:t>
            </w:r>
            <w:proofErr w:type="spellEnd"/>
            <w:r>
              <w:t xml:space="preserve"> bromide</w:t>
            </w:r>
            <w:r>
              <w:br/>
              <w:t>(*only 16 patients used anticholinergic in</w:t>
            </w:r>
            <w:r w:rsidR="00B96EF0">
              <w:t>h</w:t>
            </w:r>
            <w:r>
              <w:t>alers; we excluded these patients from the analyses)</w:t>
            </w:r>
          </w:p>
        </w:tc>
      </w:tr>
      <w:tr w:rsidR="00F20636" w:rsidTr="002559AA">
        <w:tc>
          <w:tcPr>
            <w:tcW w:w="2610" w:type="dxa"/>
          </w:tcPr>
          <w:p w:rsidR="00F20636" w:rsidRDefault="00F20636">
            <w:r>
              <w:t>Intravenous magne</w:t>
            </w:r>
            <w:r w:rsidR="00C97E64">
              <w:t>s</w:t>
            </w:r>
            <w:r>
              <w:t>ium</w:t>
            </w:r>
          </w:p>
        </w:tc>
        <w:tc>
          <w:tcPr>
            <w:tcW w:w="8280" w:type="dxa"/>
          </w:tcPr>
          <w:p w:rsidR="00F20636" w:rsidRDefault="00F20636">
            <w:r>
              <w:t>Magne</w:t>
            </w:r>
            <w:r w:rsidR="005021AB">
              <w:t>s</w:t>
            </w:r>
            <w:r>
              <w:t>ium sulfate</w:t>
            </w:r>
          </w:p>
          <w:p w:rsidR="00A573BC" w:rsidRDefault="00A573BC">
            <w:r>
              <w:t>(*Only 7 patients received NSAIDs; we excluded these patients from the analysis)</w:t>
            </w:r>
          </w:p>
        </w:tc>
      </w:tr>
    </w:tbl>
    <w:p w:rsidR="00AD21C1" w:rsidRDefault="00AD21C1">
      <w:bookmarkStart w:id="0" w:name="_GoBack"/>
      <w:bookmarkEnd w:id="0"/>
    </w:p>
    <w:sectPr w:rsidR="00AD21C1" w:rsidSect="00E63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31"/>
    <w:rsid w:val="000148DC"/>
    <w:rsid w:val="00051F8D"/>
    <w:rsid w:val="0007190B"/>
    <w:rsid w:val="00085EEE"/>
    <w:rsid w:val="000E728E"/>
    <w:rsid w:val="00121314"/>
    <w:rsid w:val="00123D7C"/>
    <w:rsid w:val="002530EE"/>
    <w:rsid w:val="002559AA"/>
    <w:rsid w:val="002735A6"/>
    <w:rsid w:val="0028785E"/>
    <w:rsid w:val="00291526"/>
    <w:rsid w:val="00332E46"/>
    <w:rsid w:val="0034204E"/>
    <w:rsid w:val="00495AF4"/>
    <w:rsid w:val="004C0F38"/>
    <w:rsid w:val="004F0873"/>
    <w:rsid w:val="005021AB"/>
    <w:rsid w:val="00555358"/>
    <w:rsid w:val="005D7C24"/>
    <w:rsid w:val="005E5DCC"/>
    <w:rsid w:val="00666F31"/>
    <w:rsid w:val="00685D14"/>
    <w:rsid w:val="006A6B3F"/>
    <w:rsid w:val="006D40D0"/>
    <w:rsid w:val="0073214E"/>
    <w:rsid w:val="00777859"/>
    <w:rsid w:val="00817653"/>
    <w:rsid w:val="00842D28"/>
    <w:rsid w:val="00880E41"/>
    <w:rsid w:val="00895E92"/>
    <w:rsid w:val="008A11B6"/>
    <w:rsid w:val="008A59F1"/>
    <w:rsid w:val="008D5768"/>
    <w:rsid w:val="008F6EBD"/>
    <w:rsid w:val="009B1D7E"/>
    <w:rsid w:val="00A04B4C"/>
    <w:rsid w:val="00A2235B"/>
    <w:rsid w:val="00A27C5B"/>
    <w:rsid w:val="00A4731A"/>
    <w:rsid w:val="00A573BC"/>
    <w:rsid w:val="00A9157F"/>
    <w:rsid w:val="00AB37C0"/>
    <w:rsid w:val="00AD21C1"/>
    <w:rsid w:val="00AF3FEF"/>
    <w:rsid w:val="00AF60CD"/>
    <w:rsid w:val="00B2267F"/>
    <w:rsid w:val="00B87757"/>
    <w:rsid w:val="00B96EF0"/>
    <w:rsid w:val="00BE0378"/>
    <w:rsid w:val="00BF5F4C"/>
    <w:rsid w:val="00C61031"/>
    <w:rsid w:val="00C95CF6"/>
    <w:rsid w:val="00C97E64"/>
    <w:rsid w:val="00CE7482"/>
    <w:rsid w:val="00CF254C"/>
    <w:rsid w:val="00D13ABB"/>
    <w:rsid w:val="00D73CF2"/>
    <w:rsid w:val="00E21E78"/>
    <w:rsid w:val="00E24A04"/>
    <w:rsid w:val="00E31A41"/>
    <w:rsid w:val="00E345B3"/>
    <w:rsid w:val="00E63A13"/>
    <w:rsid w:val="00E931B1"/>
    <w:rsid w:val="00E9756D"/>
    <w:rsid w:val="00EB00E9"/>
    <w:rsid w:val="00ED1815"/>
    <w:rsid w:val="00F20636"/>
    <w:rsid w:val="00F7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21D1"/>
  <w15:chartTrackingRefBased/>
  <w15:docId w15:val="{EEE5909A-C96E-1040-8639-DDFE9A99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1423-6CD8-3A4E-A2AE-79D849B6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Okubo Yusuke</dc:creator>
  <cp:keywords/>
  <dc:description/>
  <cp:lastModifiedBy>Okubo Yusuke</cp:lastModifiedBy>
  <cp:revision>62</cp:revision>
  <dcterms:created xsi:type="dcterms:W3CDTF">2019-11-02T01:48:00Z</dcterms:created>
  <dcterms:modified xsi:type="dcterms:W3CDTF">2019-12-06T04:52:00Z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6e298ed4-db55-3a25-81ac-ab14eec226a4</vt:lpwstr>
  </property>
  <property fmtid="{D5CDD505-2E9C-101B-9397-08002B2CF9AE}" pid="24" name="Mendeley Citation Style_1">
    <vt:lpwstr>http://www.zotero.org/styles/american-medical-association</vt:lpwstr>
  </property>
</Properties>
</file>