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4F" w:rsidRPr="00A968C6" w:rsidRDefault="00834E4F" w:rsidP="00C006E9">
      <w:pPr>
        <w:spacing w:line="480" w:lineRule="auto"/>
        <w:jc w:val="both"/>
        <w:rPr>
          <w:rFonts w:ascii="Calibri" w:hAnsi="Calibri"/>
          <w:color w:val="FF0000"/>
          <w:lang w:val="en-GB"/>
        </w:rPr>
      </w:pPr>
      <w:r w:rsidRPr="00A968C6">
        <w:rPr>
          <w:rFonts w:ascii="Calibri" w:hAnsi="Calibri"/>
          <w:b/>
          <w:color w:val="FF0000"/>
          <w:lang w:val="en-GB"/>
        </w:rPr>
        <w:t xml:space="preserve">ACCESSORY TABLE </w:t>
      </w:r>
      <w:r>
        <w:rPr>
          <w:rFonts w:ascii="Calibri" w:hAnsi="Calibri"/>
          <w:b/>
          <w:color w:val="FF0000"/>
          <w:lang w:val="en-GB"/>
        </w:rPr>
        <w:t>2</w:t>
      </w:r>
      <w:r w:rsidRPr="00A968C6">
        <w:rPr>
          <w:rFonts w:ascii="Calibri" w:hAnsi="Calibri"/>
          <w:color w:val="FF0000"/>
          <w:lang w:val="en-GB"/>
        </w:rPr>
        <w:t>. Characteristics of cirrhotic and noncirrhotic patients after the propensity score matching (matching factors included treatment and multinodular disease). Categorical variables are reported as absolute frequencies (percentage). Continuous variables are reported as median (interquartile range).</w:t>
      </w:r>
    </w:p>
    <w:tbl>
      <w:tblPr>
        <w:tblW w:w="6580" w:type="dxa"/>
        <w:jc w:val="center"/>
        <w:tblInd w:w="70" w:type="dxa"/>
        <w:tblCellMar>
          <w:left w:w="70" w:type="dxa"/>
          <w:right w:w="70" w:type="dxa"/>
        </w:tblCellMar>
        <w:tblLook w:val="0000"/>
      </w:tblPr>
      <w:tblGrid>
        <w:gridCol w:w="2496"/>
        <w:gridCol w:w="1626"/>
        <w:gridCol w:w="1622"/>
        <w:gridCol w:w="836"/>
      </w:tblGrid>
      <w:tr w:rsidR="00834E4F" w:rsidRPr="00A968C6" w:rsidTr="00A968C6">
        <w:trPr>
          <w:trHeight w:val="600"/>
          <w:jc w:val="center"/>
        </w:trPr>
        <w:tc>
          <w:tcPr>
            <w:tcW w:w="2496" w:type="dxa"/>
            <w:tcBorders>
              <w:top w:val="nil"/>
              <w:left w:val="nil"/>
              <w:bottom w:val="single" w:sz="4" w:space="0" w:color="auto"/>
              <w:right w:val="nil"/>
            </w:tcBorders>
            <w:noWrap/>
            <w:vAlign w:val="center"/>
          </w:tcPr>
          <w:p w:rsidR="00834E4F" w:rsidRPr="00A968C6" w:rsidRDefault="00834E4F" w:rsidP="00A968C6">
            <w:pPr>
              <w:rPr>
                <w:rFonts w:ascii="Calibri" w:hAnsi="Calibri"/>
                <w:b/>
                <w:bCs/>
                <w:color w:val="FF0000"/>
                <w:sz w:val="18"/>
                <w:szCs w:val="18"/>
              </w:rPr>
            </w:pPr>
            <w:r w:rsidRPr="00A968C6">
              <w:rPr>
                <w:rFonts w:ascii="Calibri" w:hAnsi="Calibri"/>
                <w:b/>
                <w:bCs/>
                <w:color w:val="FF0000"/>
                <w:sz w:val="18"/>
                <w:szCs w:val="18"/>
              </w:rPr>
              <w:t>Variable</w:t>
            </w:r>
          </w:p>
        </w:tc>
        <w:tc>
          <w:tcPr>
            <w:tcW w:w="1626" w:type="dxa"/>
            <w:tcBorders>
              <w:top w:val="nil"/>
              <w:left w:val="nil"/>
              <w:bottom w:val="single" w:sz="4" w:space="0" w:color="auto"/>
              <w:right w:val="nil"/>
            </w:tcBorders>
            <w:vAlign w:val="center"/>
          </w:tcPr>
          <w:p w:rsidR="00834E4F" w:rsidRPr="00A968C6" w:rsidRDefault="00834E4F" w:rsidP="00A968C6">
            <w:pPr>
              <w:jc w:val="center"/>
              <w:rPr>
                <w:rFonts w:ascii="Calibri" w:hAnsi="Calibri"/>
                <w:b/>
                <w:bCs/>
                <w:color w:val="FF0000"/>
                <w:sz w:val="18"/>
                <w:szCs w:val="18"/>
              </w:rPr>
            </w:pPr>
            <w:r w:rsidRPr="00A968C6">
              <w:rPr>
                <w:rFonts w:ascii="Calibri" w:hAnsi="Calibri"/>
                <w:b/>
                <w:bCs/>
                <w:color w:val="FF0000"/>
                <w:sz w:val="18"/>
                <w:szCs w:val="18"/>
              </w:rPr>
              <w:t>Noncirrhotic patients (n=54)</w:t>
            </w:r>
          </w:p>
        </w:tc>
        <w:tc>
          <w:tcPr>
            <w:tcW w:w="1622" w:type="dxa"/>
            <w:tcBorders>
              <w:top w:val="nil"/>
              <w:left w:val="nil"/>
              <w:bottom w:val="single" w:sz="4" w:space="0" w:color="auto"/>
              <w:right w:val="nil"/>
            </w:tcBorders>
            <w:vAlign w:val="center"/>
          </w:tcPr>
          <w:p w:rsidR="00834E4F" w:rsidRPr="00A968C6" w:rsidRDefault="00834E4F" w:rsidP="00A968C6">
            <w:pPr>
              <w:jc w:val="center"/>
              <w:rPr>
                <w:rFonts w:ascii="Calibri" w:hAnsi="Calibri"/>
                <w:b/>
                <w:bCs/>
                <w:color w:val="FF0000"/>
                <w:sz w:val="18"/>
                <w:szCs w:val="18"/>
              </w:rPr>
            </w:pPr>
            <w:r w:rsidRPr="00A968C6">
              <w:rPr>
                <w:rFonts w:ascii="Calibri" w:hAnsi="Calibri"/>
                <w:b/>
                <w:bCs/>
                <w:color w:val="FF0000"/>
                <w:sz w:val="18"/>
                <w:szCs w:val="18"/>
              </w:rPr>
              <w:t>Cirrhotic patients (n=54)</w:t>
            </w:r>
          </w:p>
        </w:tc>
        <w:tc>
          <w:tcPr>
            <w:tcW w:w="836" w:type="dxa"/>
            <w:tcBorders>
              <w:top w:val="nil"/>
              <w:left w:val="nil"/>
              <w:bottom w:val="single" w:sz="4" w:space="0" w:color="auto"/>
              <w:right w:val="nil"/>
            </w:tcBorders>
            <w:noWrap/>
            <w:vAlign w:val="center"/>
          </w:tcPr>
          <w:p w:rsidR="00834E4F" w:rsidRPr="00A968C6" w:rsidRDefault="00834E4F" w:rsidP="00A968C6">
            <w:pPr>
              <w:jc w:val="center"/>
              <w:rPr>
                <w:rFonts w:ascii="Calibri" w:hAnsi="Calibri"/>
                <w:b/>
                <w:bCs/>
                <w:color w:val="FF0000"/>
                <w:sz w:val="18"/>
                <w:szCs w:val="18"/>
              </w:rPr>
            </w:pPr>
            <w:r w:rsidRPr="00A968C6">
              <w:rPr>
                <w:rFonts w:ascii="Calibri" w:hAnsi="Calibri"/>
                <w:b/>
                <w:bCs/>
                <w:color w:val="FF0000"/>
                <w:sz w:val="18"/>
                <w:szCs w:val="18"/>
              </w:rPr>
              <w:t>p</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Age (years)</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67 (59-73)</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65 (58-72)</w:t>
            </w:r>
          </w:p>
        </w:tc>
        <w:tc>
          <w:tcPr>
            <w:tcW w:w="83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0.413</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Male sex</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29 (53.7)</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19 (35.2)</w:t>
            </w:r>
          </w:p>
        </w:tc>
        <w:tc>
          <w:tcPr>
            <w:tcW w:w="83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0.081</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PS&gt;0</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14 (25.9)</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13 (24.1)</w:t>
            </w:r>
          </w:p>
        </w:tc>
        <w:tc>
          <w:tcPr>
            <w:tcW w:w="83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1.000</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Main tumor dimension (mm)</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61 (40-90)</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37 (20-67)</w:t>
            </w:r>
          </w:p>
        </w:tc>
        <w:tc>
          <w:tcPr>
            <w:tcW w:w="83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&lt;0.001</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Multinodular disease</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19 (35.2)</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21 (38.9)</w:t>
            </w:r>
          </w:p>
        </w:tc>
        <w:tc>
          <w:tcPr>
            <w:tcW w:w="83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0.842</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N1</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 (3.7)</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7 (13.0)</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0.161</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M1</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 (5.6)</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0.243</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Macrovascular invasion</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4 (7.4)</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7 (13.0)</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0.540</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Tumor grading</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c>
          <w:tcPr>
            <w:tcW w:w="83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G1</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25 (46.3)</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31 (57.4)</w:t>
            </w:r>
          </w:p>
        </w:tc>
        <w:tc>
          <w:tcPr>
            <w:tcW w:w="836" w:type="dxa"/>
            <w:vMerge w:val="restart"/>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0.452</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G2</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22 (40.7)</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16 (29.6)</w:t>
            </w:r>
          </w:p>
        </w:tc>
        <w:tc>
          <w:tcPr>
            <w:tcW w:w="836" w:type="dxa"/>
            <w:vMerge/>
            <w:tcBorders>
              <w:top w:val="nil"/>
              <w:left w:val="nil"/>
              <w:bottom w:val="nil"/>
              <w:right w:val="nil"/>
            </w:tcBorders>
            <w:vAlign w:val="center"/>
          </w:tcPr>
          <w:p w:rsidR="00834E4F" w:rsidRPr="00A968C6" w:rsidRDefault="00834E4F" w:rsidP="00A968C6">
            <w:pP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G3</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7 (13.0)</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7 (13.0)</w:t>
            </w:r>
          </w:p>
        </w:tc>
        <w:tc>
          <w:tcPr>
            <w:tcW w:w="836" w:type="dxa"/>
            <w:vMerge/>
            <w:tcBorders>
              <w:top w:val="nil"/>
              <w:left w:val="nil"/>
              <w:bottom w:val="nil"/>
              <w:right w:val="nil"/>
            </w:tcBorders>
            <w:vAlign w:val="center"/>
          </w:tcPr>
          <w:p w:rsidR="00834E4F" w:rsidRPr="00A968C6" w:rsidRDefault="00834E4F" w:rsidP="00A968C6">
            <w:pP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TNM stage</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- 1a</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20 (37.0)</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27 (50.0)</w:t>
            </w:r>
          </w:p>
        </w:tc>
        <w:tc>
          <w:tcPr>
            <w:tcW w:w="836" w:type="dxa"/>
            <w:vMerge w:val="restart"/>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0.012</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- 1b</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14 (25.9)</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4 (7.4)</w:t>
            </w:r>
          </w:p>
        </w:tc>
        <w:tc>
          <w:tcPr>
            <w:tcW w:w="836" w:type="dxa"/>
            <w:vMerge/>
            <w:tcBorders>
              <w:top w:val="nil"/>
              <w:left w:val="nil"/>
              <w:bottom w:val="nil"/>
              <w:right w:val="nil"/>
            </w:tcBorders>
            <w:vAlign w:val="center"/>
          </w:tcPr>
          <w:p w:rsidR="00834E4F" w:rsidRPr="00A968C6" w:rsidRDefault="00834E4F" w:rsidP="00A968C6">
            <w:pP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-2</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18 (33.3)</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14 (25.9)</w:t>
            </w:r>
          </w:p>
        </w:tc>
        <w:tc>
          <w:tcPr>
            <w:tcW w:w="836" w:type="dxa"/>
            <w:vMerge/>
            <w:tcBorders>
              <w:top w:val="nil"/>
              <w:left w:val="nil"/>
              <w:bottom w:val="nil"/>
              <w:right w:val="nil"/>
            </w:tcBorders>
            <w:vAlign w:val="center"/>
          </w:tcPr>
          <w:p w:rsidR="00834E4F" w:rsidRPr="00A968C6" w:rsidRDefault="00834E4F" w:rsidP="00A968C6">
            <w:pP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-3</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2 (3.7)</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6 (11.1)</w:t>
            </w:r>
          </w:p>
        </w:tc>
        <w:tc>
          <w:tcPr>
            <w:tcW w:w="836" w:type="dxa"/>
            <w:vMerge/>
            <w:tcBorders>
              <w:top w:val="nil"/>
              <w:left w:val="nil"/>
              <w:bottom w:val="nil"/>
              <w:right w:val="nil"/>
            </w:tcBorders>
            <w:vAlign w:val="center"/>
          </w:tcPr>
          <w:p w:rsidR="00834E4F" w:rsidRPr="00A968C6" w:rsidRDefault="00834E4F" w:rsidP="00A968C6">
            <w:pP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-4</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 (5.6)</w:t>
            </w:r>
          </w:p>
        </w:tc>
        <w:tc>
          <w:tcPr>
            <w:tcW w:w="836" w:type="dxa"/>
            <w:vMerge/>
            <w:tcBorders>
              <w:top w:val="nil"/>
              <w:left w:val="nil"/>
              <w:bottom w:val="nil"/>
              <w:right w:val="nil"/>
            </w:tcBorders>
            <w:vAlign w:val="center"/>
          </w:tcPr>
          <w:p w:rsidR="00834E4F" w:rsidRPr="00A968C6" w:rsidRDefault="00834E4F" w:rsidP="00A968C6">
            <w:pP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Treatment</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Surgery</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41 (75.9)</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39 (72.2)</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0.827</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Locoregional procedures</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 (1.9)</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 (5.6)</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0.618</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Chemotherapy</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11 (20.4)</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9 (16.7)</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0.805</w:t>
            </w:r>
          </w:p>
        </w:tc>
      </w:tr>
      <w:tr w:rsidR="00834E4F" w:rsidRPr="00A968C6" w:rsidTr="00A968C6">
        <w:trPr>
          <w:trHeight w:val="480"/>
          <w:jc w:val="center"/>
        </w:trPr>
        <w:tc>
          <w:tcPr>
            <w:tcW w:w="2496" w:type="dxa"/>
            <w:tcBorders>
              <w:top w:val="nil"/>
              <w:left w:val="nil"/>
              <w:bottom w:val="nil"/>
              <w:right w:val="nil"/>
            </w:tcBorders>
            <w:noWrap/>
            <w:vAlign w:val="bottom"/>
          </w:tcPr>
          <w:p w:rsidR="00834E4F" w:rsidRPr="00A968C6" w:rsidRDefault="00834E4F" w:rsidP="00A968C6">
            <w:pPr>
              <w:rPr>
                <w:rFonts w:ascii="Calibri" w:hAnsi="Calibri"/>
                <w:color w:val="FF0000"/>
                <w:sz w:val="18"/>
                <w:szCs w:val="18"/>
              </w:rPr>
            </w:pPr>
            <w:r w:rsidRPr="00A968C6">
              <w:rPr>
                <w:rFonts w:ascii="Calibri" w:hAnsi="Calibri"/>
                <w:color w:val="FF0000"/>
                <w:sz w:val="18"/>
                <w:szCs w:val="18"/>
              </w:rPr>
              <w:t xml:space="preserve"> - BSC</w:t>
            </w:r>
          </w:p>
        </w:tc>
        <w:tc>
          <w:tcPr>
            <w:tcW w:w="1626"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1 (1.9)</w:t>
            </w:r>
          </w:p>
        </w:tc>
        <w:tc>
          <w:tcPr>
            <w:tcW w:w="1622" w:type="dxa"/>
            <w:tcBorders>
              <w:top w:val="nil"/>
              <w:left w:val="nil"/>
              <w:bottom w:val="nil"/>
              <w:right w:val="nil"/>
            </w:tcBorders>
            <w:noWrap/>
            <w:vAlign w:val="bottom"/>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3 (5.6)</w:t>
            </w:r>
          </w:p>
        </w:tc>
        <w:tc>
          <w:tcPr>
            <w:tcW w:w="836" w:type="dxa"/>
            <w:tcBorders>
              <w:top w:val="nil"/>
              <w:left w:val="nil"/>
              <w:bottom w:val="nil"/>
              <w:right w:val="nil"/>
            </w:tcBorders>
            <w:noWrap/>
            <w:vAlign w:val="center"/>
          </w:tcPr>
          <w:p w:rsidR="00834E4F" w:rsidRPr="00A968C6" w:rsidRDefault="00834E4F" w:rsidP="00A968C6">
            <w:pPr>
              <w:jc w:val="center"/>
              <w:rPr>
                <w:rFonts w:ascii="Calibri" w:hAnsi="Calibri"/>
                <w:color w:val="FF0000"/>
                <w:sz w:val="18"/>
                <w:szCs w:val="18"/>
              </w:rPr>
            </w:pPr>
            <w:r w:rsidRPr="00A968C6">
              <w:rPr>
                <w:rFonts w:ascii="Calibri" w:hAnsi="Calibri"/>
                <w:color w:val="FF0000"/>
                <w:sz w:val="18"/>
                <w:szCs w:val="18"/>
              </w:rPr>
              <w:t>0.618</w:t>
            </w:r>
          </w:p>
        </w:tc>
      </w:tr>
    </w:tbl>
    <w:p w:rsidR="00834E4F" w:rsidRDefault="00834E4F" w:rsidP="00C006E9">
      <w:pPr>
        <w:spacing w:line="480" w:lineRule="auto"/>
        <w:jc w:val="both"/>
        <w:rPr>
          <w:rFonts w:ascii="Calibri" w:hAnsi="Calibri"/>
          <w:lang w:val="en-GB"/>
        </w:rPr>
      </w:pPr>
    </w:p>
    <w:sectPr w:rsidR="00834E4F" w:rsidSect="00D80A6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2841"/>
    <w:rsid w:val="000C3900"/>
    <w:rsid w:val="00423DAC"/>
    <w:rsid w:val="00502C26"/>
    <w:rsid w:val="00530E65"/>
    <w:rsid w:val="0065001E"/>
    <w:rsid w:val="0069682B"/>
    <w:rsid w:val="007870A5"/>
    <w:rsid w:val="00834E4F"/>
    <w:rsid w:val="00887BB6"/>
    <w:rsid w:val="008D4FC0"/>
    <w:rsid w:val="009521FE"/>
    <w:rsid w:val="00972841"/>
    <w:rsid w:val="00A07237"/>
    <w:rsid w:val="00A968C6"/>
    <w:rsid w:val="00B8776E"/>
    <w:rsid w:val="00C006E9"/>
    <w:rsid w:val="00C221B8"/>
    <w:rsid w:val="00D80A67"/>
    <w:rsid w:val="00DD5BA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841"/>
    <w:rPr>
      <w:rFonts w:ascii="Times New Roman" w:eastAsia="MS Mincho" w:hAnsi="Times New Roman"/>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516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164</Words>
  <Characters>939</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3</dc:title>
  <dc:subject/>
  <dc:creator>reparto</dc:creator>
  <cp:keywords/>
  <dc:description/>
  <cp:lastModifiedBy>Computer</cp:lastModifiedBy>
  <cp:revision>3</cp:revision>
  <dcterms:created xsi:type="dcterms:W3CDTF">2020-05-02T14:12:00Z</dcterms:created>
  <dcterms:modified xsi:type="dcterms:W3CDTF">2020-05-02T14:15:00Z</dcterms:modified>
</cp:coreProperties>
</file>