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ED" w:rsidRDefault="00E824ED" w:rsidP="00C006E9">
      <w:pPr>
        <w:spacing w:line="480" w:lineRule="auto"/>
        <w:jc w:val="both"/>
        <w:rPr>
          <w:rFonts w:ascii="Calibri" w:hAnsi="Calibri"/>
          <w:color w:val="FF0000"/>
          <w:lang w:val="en-GB"/>
        </w:rPr>
      </w:pPr>
      <w:r w:rsidRPr="00A968C6">
        <w:rPr>
          <w:rFonts w:ascii="Calibri" w:hAnsi="Calibri"/>
          <w:b/>
          <w:color w:val="FF0000"/>
          <w:lang w:val="en-GB"/>
        </w:rPr>
        <w:t xml:space="preserve">ACCESSORY TABLE </w:t>
      </w:r>
      <w:r>
        <w:rPr>
          <w:rFonts w:ascii="Calibri" w:hAnsi="Calibri"/>
          <w:b/>
          <w:color w:val="FF0000"/>
          <w:lang w:val="en-GB"/>
        </w:rPr>
        <w:t>3</w:t>
      </w:r>
      <w:r w:rsidRPr="00A968C6">
        <w:rPr>
          <w:rFonts w:ascii="Calibri" w:hAnsi="Calibri"/>
          <w:color w:val="FF0000"/>
          <w:lang w:val="en-GB"/>
        </w:rPr>
        <w:t xml:space="preserve">. </w:t>
      </w:r>
      <w:r>
        <w:rPr>
          <w:rFonts w:ascii="Calibri" w:hAnsi="Calibri"/>
          <w:color w:val="FF0000"/>
          <w:lang w:val="en-GB"/>
        </w:rPr>
        <w:t xml:space="preserve">Comparison of the main liver function parameters in cirrhotic patients according to their surveillance status. </w:t>
      </w:r>
      <w:r w:rsidRPr="00A968C6">
        <w:rPr>
          <w:rFonts w:ascii="Calibri" w:hAnsi="Calibri"/>
          <w:color w:val="FF0000"/>
          <w:lang w:val="en-GB"/>
        </w:rPr>
        <w:t>Categorical variables are reported as absolute frequencies (percentage). Continuous variables are reported as median (interquartile range).</w:t>
      </w:r>
    </w:p>
    <w:p w:rsidR="00E824ED" w:rsidRDefault="00E824ED" w:rsidP="00C006E9">
      <w:pPr>
        <w:spacing w:line="480" w:lineRule="auto"/>
        <w:jc w:val="both"/>
        <w:rPr>
          <w:rFonts w:ascii="Calibri" w:hAnsi="Calibri"/>
          <w:color w:val="FF0000"/>
          <w:lang w:val="en-GB"/>
        </w:rPr>
      </w:pPr>
    </w:p>
    <w:tbl>
      <w:tblPr>
        <w:tblW w:w="6820" w:type="dxa"/>
        <w:jc w:val="center"/>
        <w:tblInd w:w="70" w:type="dxa"/>
        <w:tblCellMar>
          <w:left w:w="70" w:type="dxa"/>
          <w:right w:w="70" w:type="dxa"/>
        </w:tblCellMar>
        <w:tblLook w:val="0000"/>
      </w:tblPr>
      <w:tblGrid>
        <w:gridCol w:w="2496"/>
        <w:gridCol w:w="1744"/>
        <w:gridCol w:w="1744"/>
        <w:gridCol w:w="836"/>
      </w:tblGrid>
      <w:tr w:rsidR="00E824ED" w:rsidRPr="007735A2" w:rsidTr="007735A2">
        <w:trPr>
          <w:trHeight w:val="600"/>
          <w:jc w:val="center"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24ED" w:rsidRPr="007735A2" w:rsidRDefault="00E824ED" w:rsidP="007735A2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Variable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Nonsurveyed patients (n=38)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Surveyed patients (n=47)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p</w:t>
            </w:r>
          </w:p>
        </w:tc>
      </w:tr>
      <w:tr w:rsidR="00E824ED" w:rsidRPr="007735A2" w:rsidTr="007735A2">
        <w:trPr>
          <w:trHeight w:val="480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Bilirubin (mg/dl)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color w:val="FF0000"/>
                <w:sz w:val="18"/>
                <w:szCs w:val="18"/>
              </w:rPr>
              <w:t>0.83 (0.67-1.00)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color w:val="FF0000"/>
                <w:sz w:val="18"/>
                <w:szCs w:val="18"/>
              </w:rPr>
              <w:t>0.73 (0.59-1.04)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color w:val="FF0000"/>
                <w:sz w:val="18"/>
                <w:szCs w:val="18"/>
              </w:rPr>
              <w:t>0.717</w:t>
            </w:r>
          </w:p>
        </w:tc>
      </w:tr>
      <w:tr w:rsidR="00E824ED" w:rsidRPr="007735A2" w:rsidTr="007735A2">
        <w:trPr>
          <w:trHeight w:val="480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Albumin (g/L)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color w:val="FF0000"/>
                <w:sz w:val="18"/>
                <w:szCs w:val="18"/>
              </w:rPr>
              <w:t>39 (36-42)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color w:val="FF0000"/>
                <w:sz w:val="18"/>
                <w:szCs w:val="18"/>
              </w:rPr>
              <w:t>41 (37-45)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color w:val="FF0000"/>
                <w:sz w:val="18"/>
                <w:szCs w:val="18"/>
              </w:rPr>
              <w:t>0.110</w:t>
            </w:r>
          </w:p>
        </w:tc>
      </w:tr>
      <w:tr w:rsidR="00E824ED" w:rsidRPr="007735A2" w:rsidTr="007735A2">
        <w:trPr>
          <w:trHeight w:val="480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Platelets (10</w:t>
            </w:r>
            <w:r w:rsidRPr="007735A2">
              <w:rPr>
                <w:rFonts w:ascii="Calibri" w:hAnsi="Calibri"/>
                <w:color w:val="FF0000"/>
                <w:sz w:val="18"/>
                <w:szCs w:val="18"/>
                <w:vertAlign w:val="superscript"/>
              </w:rPr>
              <w:t>3</w:t>
            </w:r>
            <w:r w:rsidRPr="007735A2">
              <w:rPr>
                <w:rFonts w:ascii="Calibri" w:hAnsi="Calibri"/>
                <w:color w:val="FF0000"/>
                <w:sz w:val="18"/>
                <w:szCs w:val="18"/>
              </w:rPr>
              <w:t>/mmc)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color w:val="FF0000"/>
                <w:sz w:val="18"/>
                <w:szCs w:val="18"/>
              </w:rPr>
              <w:t>145 (106-197)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color w:val="FF0000"/>
                <w:sz w:val="18"/>
                <w:szCs w:val="18"/>
              </w:rPr>
              <w:t>160 (112-205)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color w:val="FF0000"/>
                <w:sz w:val="18"/>
                <w:szCs w:val="18"/>
              </w:rPr>
              <w:t>0.814</w:t>
            </w:r>
          </w:p>
        </w:tc>
      </w:tr>
      <w:tr w:rsidR="00E824ED" w:rsidRPr="007735A2" w:rsidTr="007735A2">
        <w:trPr>
          <w:trHeight w:val="480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Varices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color w:val="FF0000"/>
                <w:sz w:val="18"/>
                <w:szCs w:val="18"/>
              </w:rPr>
              <w:t>11 (28.9)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color w:val="FF0000"/>
                <w:sz w:val="18"/>
                <w:szCs w:val="18"/>
              </w:rPr>
              <w:t>11 (23.4)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color w:val="FF0000"/>
                <w:sz w:val="18"/>
                <w:szCs w:val="18"/>
              </w:rPr>
              <w:t>0.618</w:t>
            </w:r>
          </w:p>
        </w:tc>
      </w:tr>
      <w:tr w:rsidR="00E824ED" w:rsidRPr="007735A2" w:rsidTr="007735A2">
        <w:trPr>
          <w:trHeight w:val="480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Ascites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color w:val="FF0000"/>
                <w:sz w:val="18"/>
                <w:szCs w:val="18"/>
              </w:rPr>
              <w:t>3 (7.9)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color w:val="FF0000"/>
                <w:sz w:val="18"/>
                <w:szCs w:val="18"/>
              </w:rPr>
              <w:t>2 (4.2)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color w:val="FF0000"/>
                <w:sz w:val="18"/>
                <w:szCs w:val="18"/>
              </w:rPr>
              <w:t>0.320</w:t>
            </w:r>
          </w:p>
        </w:tc>
      </w:tr>
      <w:tr w:rsidR="00E824ED" w:rsidRPr="007735A2" w:rsidTr="007735A2">
        <w:trPr>
          <w:trHeight w:val="480"/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Encephalopathy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4ED" w:rsidRPr="007735A2" w:rsidRDefault="00E824ED" w:rsidP="00773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7735A2">
              <w:rPr>
                <w:rFonts w:ascii="Calibri" w:hAnsi="Calibri"/>
                <w:color w:val="FF0000"/>
                <w:sz w:val="18"/>
                <w:szCs w:val="18"/>
              </w:rPr>
              <w:t>N/A</w:t>
            </w:r>
          </w:p>
        </w:tc>
      </w:tr>
    </w:tbl>
    <w:p w:rsidR="00E824ED" w:rsidRDefault="00E824ED" w:rsidP="00C006E9">
      <w:pPr>
        <w:spacing w:line="480" w:lineRule="auto"/>
        <w:jc w:val="both"/>
        <w:rPr>
          <w:rFonts w:ascii="Calibri" w:hAnsi="Calibri"/>
          <w:color w:val="FF0000"/>
          <w:lang w:val="en-GB"/>
        </w:rPr>
      </w:pPr>
    </w:p>
    <w:sectPr w:rsidR="00E824ED" w:rsidSect="00D80A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841"/>
    <w:rsid w:val="001C214D"/>
    <w:rsid w:val="00221F1A"/>
    <w:rsid w:val="00244316"/>
    <w:rsid w:val="00423DAC"/>
    <w:rsid w:val="004E61FB"/>
    <w:rsid w:val="00502C26"/>
    <w:rsid w:val="0065001E"/>
    <w:rsid w:val="0069682B"/>
    <w:rsid w:val="007735A2"/>
    <w:rsid w:val="00887BB6"/>
    <w:rsid w:val="008D4FC0"/>
    <w:rsid w:val="009521FE"/>
    <w:rsid w:val="00972841"/>
    <w:rsid w:val="00A968C6"/>
    <w:rsid w:val="00B8776E"/>
    <w:rsid w:val="00C006E9"/>
    <w:rsid w:val="00C221B8"/>
    <w:rsid w:val="00D80A67"/>
    <w:rsid w:val="00DD5BA9"/>
    <w:rsid w:val="00E01D66"/>
    <w:rsid w:val="00E8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41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87</Words>
  <Characters>497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3</dc:title>
  <dc:subject/>
  <dc:creator>reparto</dc:creator>
  <cp:keywords/>
  <dc:description/>
  <cp:lastModifiedBy>Computer</cp:lastModifiedBy>
  <cp:revision>4</cp:revision>
  <dcterms:created xsi:type="dcterms:W3CDTF">2020-05-02T14:13:00Z</dcterms:created>
  <dcterms:modified xsi:type="dcterms:W3CDTF">2020-05-02T14:15:00Z</dcterms:modified>
</cp:coreProperties>
</file>