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0562" w14:textId="69E7DE2A" w:rsidR="00F4171D" w:rsidRDefault="007E2D6F">
      <w:pPr>
        <w:rPr>
          <w:lang w:val="en-GB"/>
        </w:rPr>
      </w:pPr>
      <w:r>
        <w:rPr>
          <w:lang w:val="en-GB"/>
        </w:rPr>
        <w:t>Supplemental t</w:t>
      </w:r>
      <w:r w:rsidR="00DB4D1D" w:rsidRPr="00F4171D">
        <w:rPr>
          <w:lang w:val="en-GB"/>
        </w:rPr>
        <w:t>able</w:t>
      </w:r>
      <w:r w:rsidR="00F4171D" w:rsidRPr="00F4171D">
        <w:rPr>
          <w:lang w:val="en-GB"/>
        </w:rPr>
        <w:t xml:space="preserve"> </w:t>
      </w:r>
      <w:r>
        <w:rPr>
          <w:lang w:val="en-GB"/>
        </w:rPr>
        <w:t>1.</w:t>
      </w:r>
      <w:bookmarkStart w:id="0" w:name="_GoBack"/>
      <w:bookmarkEnd w:id="0"/>
      <w:r w:rsidRPr="00F4171D">
        <w:rPr>
          <w:lang w:val="en-GB"/>
        </w:rPr>
        <w:t xml:space="preserve"> </w:t>
      </w:r>
      <w:r w:rsidR="00F4171D">
        <w:rPr>
          <w:lang w:val="en-GB"/>
        </w:rPr>
        <w:t>Adjusted q</w:t>
      </w:r>
      <w:r w:rsidR="00F4171D" w:rsidRPr="00F4171D">
        <w:rPr>
          <w:lang w:val="en-GB"/>
        </w:rPr>
        <w:t xml:space="preserve">uality </w:t>
      </w:r>
      <w:r w:rsidR="00DB4D1D">
        <w:rPr>
          <w:lang w:val="en-GB"/>
        </w:rPr>
        <w:t>a</w:t>
      </w:r>
      <w:r w:rsidR="00DB4D1D" w:rsidRPr="00F4171D">
        <w:rPr>
          <w:lang w:val="en-GB"/>
        </w:rPr>
        <w:t>ssessment</w:t>
      </w:r>
      <w:r>
        <w:rPr>
          <w:lang w:val="en-GB"/>
        </w:rPr>
        <w:t xml:space="preserve"> of included studies using the</w:t>
      </w:r>
      <w:r w:rsidR="00F4171D" w:rsidRPr="00F4171D">
        <w:rPr>
          <w:lang w:val="en-GB"/>
        </w:rPr>
        <w:t xml:space="preserve"> New</w:t>
      </w:r>
      <w:r w:rsidR="00F4171D">
        <w:rPr>
          <w:lang w:val="en-GB"/>
        </w:rPr>
        <w:t>castle-</w:t>
      </w:r>
      <w:r w:rsidR="00DB4D1D">
        <w:rPr>
          <w:lang w:val="en-GB"/>
        </w:rPr>
        <w:t>Ottawa</w:t>
      </w:r>
      <w:r w:rsidR="00F4171D">
        <w:rPr>
          <w:lang w:val="en-GB"/>
        </w:rPr>
        <w:t xml:space="preserve"> Scale for assessing</w:t>
      </w:r>
      <w:r w:rsidR="00DB4D1D">
        <w:rPr>
          <w:lang w:val="en-GB"/>
        </w:rPr>
        <w:t xml:space="preserve"> the</w:t>
      </w:r>
      <w:r w:rsidR="00F4171D">
        <w:rPr>
          <w:lang w:val="en-GB"/>
        </w:rPr>
        <w:t xml:space="preserve"> quality of cohort studies.</w:t>
      </w:r>
    </w:p>
    <w:p w14:paraId="02CF8BC2" w14:textId="77777777" w:rsidR="00F4171D" w:rsidRPr="00F4171D" w:rsidRDefault="00F4171D">
      <w:pPr>
        <w:rPr>
          <w:lang w:val="en-GB"/>
        </w:rPr>
      </w:pPr>
    </w:p>
    <w:tbl>
      <w:tblPr>
        <w:tblStyle w:val="Tabelraster"/>
        <w:tblW w:w="15043" w:type="dxa"/>
        <w:tblLayout w:type="fixed"/>
        <w:tblLook w:val="04A0" w:firstRow="1" w:lastRow="0" w:firstColumn="1" w:lastColumn="0" w:noHBand="0" w:noVBand="1"/>
      </w:tblPr>
      <w:tblGrid>
        <w:gridCol w:w="382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75708" w14:paraId="7B45D023" w14:textId="77777777" w:rsidTr="00F4171D">
        <w:trPr>
          <w:cantSplit/>
          <w:trHeight w:val="1653"/>
        </w:trPr>
        <w:tc>
          <w:tcPr>
            <w:tcW w:w="3823" w:type="dxa"/>
            <w:tcBorders>
              <w:top w:val="nil"/>
              <w:left w:val="nil"/>
            </w:tcBorders>
          </w:tcPr>
          <w:p w14:paraId="19B81FE8" w14:textId="77777777" w:rsidR="00DE3A42" w:rsidRPr="00F4171D" w:rsidRDefault="00DE3A42" w:rsidP="00DE3A42">
            <w:pPr>
              <w:rPr>
                <w:lang w:val="en-GB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47ACD090" w14:textId="0DB3ADB8" w:rsidR="00DE3A42" w:rsidRPr="00F4171D" w:rsidRDefault="00DE3A42" w:rsidP="00F4171D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 xml:space="preserve">De Jong et al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4BC9F084" w14:textId="5F787970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Machens et al</w:t>
            </w:r>
            <w:r w:rsidRPr="00F4171D">
              <w:rPr>
                <w:b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1D1CC761" w14:textId="10932948" w:rsidR="00DE3A42" w:rsidRPr="007E2D6F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Baumgarten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74199C64" w14:textId="573824CC" w:rsidR="00DE3A42" w:rsidRPr="007E2D6F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Yu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1591A576" w14:textId="533926C2" w:rsidR="00DE3A42" w:rsidRPr="007E2D6F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Elfenbein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0F856089" w14:textId="3DABECDC" w:rsidR="00DE3A42" w:rsidRPr="007E2D6F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 xml:space="preserve">Cohen et al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0AD511E2" w14:textId="37966BB5" w:rsidR="00DE3A42" w:rsidRPr="00F4171D" w:rsidRDefault="00DE3A42" w:rsidP="00395C2C">
            <w:pPr>
              <w:pStyle w:val="Geenafstand"/>
              <w:rPr>
                <w:b/>
                <w:lang w:val="en-US"/>
              </w:rPr>
            </w:pPr>
            <w:r w:rsidRPr="00F4171D">
              <w:rPr>
                <w:lang w:val="en-US"/>
              </w:rPr>
              <w:t>Breuer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2B1BC1BA" w14:textId="19522D98" w:rsidR="00DE3A42" w:rsidRPr="007E2D6F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 xml:space="preserve">Peroni et al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62E3C001" w14:textId="3CEA15F2" w:rsidR="00DE3A42" w:rsidRPr="00F4171D" w:rsidRDefault="00DE3A42" w:rsidP="00395C2C">
            <w:pPr>
              <w:pStyle w:val="Geenafstand"/>
            </w:pPr>
            <w:r w:rsidRPr="00F4171D">
              <w:rPr>
                <w:lang w:val="en-US"/>
              </w:rPr>
              <w:t>Chiapponi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5649D27C" w14:textId="75EBDE5D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 xml:space="preserve">Sherman et al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691CBD01" w14:textId="2267B3F0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Bergman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0E8BC707" w14:textId="1D2B819B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Sugino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235F0E18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Akkari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10AC6B30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Chen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4198DA51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Sinha 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1FFC3303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Lobe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293DCEE9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Nordenstrom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43378BCC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Perzik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44FAF211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Raval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6A2551A9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Soreide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34BAB848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Witte et al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textDirection w:val="btLr"/>
          </w:tcPr>
          <w:p w14:paraId="7A3C6D9B" w14:textId="77777777" w:rsidR="00DE3A42" w:rsidRPr="00F4171D" w:rsidRDefault="00DE3A42" w:rsidP="00395C2C">
            <w:pPr>
              <w:pStyle w:val="Geenafstand"/>
              <w:rPr>
                <w:lang w:val="en-US"/>
              </w:rPr>
            </w:pPr>
            <w:r w:rsidRPr="00F4171D">
              <w:rPr>
                <w:lang w:val="en-US"/>
              </w:rPr>
              <w:t>Zobel et al</w:t>
            </w:r>
          </w:p>
        </w:tc>
      </w:tr>
      <w:tr w:rsidR="00967924" w14:paraId="0CE74FB1" w14:textId="77777777" w:rsidTr="00967924">
        <w:trPr>
          <w:trHeight w:val="262"/>
        </w:trPr>
        <w:tc>
          <w:tcPr>
            <w:tcW w:w="3823" w:type="dxa"/>
          </w:tcPr>
          <w:p w14:paraId="404EC03B" w14:textId="77777777" w:rsidR="00967924" w:rsidRPr="002C7BB5" w:rsidRDefault="00967924" w:rsidP="00DE3A42">
            <w:pPr>
              <w:rPr>
                <w:b/>
                <w:bCs/>
              </w:rPr>
            </w:pPr>
            <w:r>
              <w:rPr>
                <w:b/>
                <w:bCs/>
              </w:rPr>
              <w:t>Selection</w:t>
            </w:r>
          </w:p>
        </w:tc>
        <w:tc>
          <w:tcPr>
            <w:tcW w:w="11220" w:type="dxa"/>
            <w:gridSpan w:val="22"/>
          </w:tcPr>
          <w:p w14:paraId="28317878" w14:textId="77777777" w:rsidR="00967924" w:rsidRDefault="00967924" w:rsidP="00395C2C">
            <w:pPr>
              <w:pStyle w:val="Geenafstand"/>
            </w:pPr>
          </w:p>
        </w:tc>
      </w:tr>
      <w:tr w:rsidR="00D75708" w:rsidRPr="002C7BB5" w14:paraId="7E820885" w14:textId="77777777" w:rsidTr="00967924">
        <w:trPr>
          <w:trHeight w:val="567"/>
        </w:trPr>
        <w:tc>
          <w:tcPr>
            <w:tcW w:w="3823" w:type="dxa"/>
          </w:tcPr>
          <w:p w14:paraId="20E8E057" w14:textId="70962A4B" w:rsidR="00DE3A42" w:rsidRPr="002C7BB5" w:rsidRDefault="002C7BB5" w:rsidP="00DE3A42">
            <w:pPr>
              <w:rPr>
                <w:lang w:val="en-GB"/>
              </w:rPr>
            </w:pPr>
            <w:r w:rsidRPr="002C7BB5">
              <w:rPr>
                <w:lang w:val="en-GB"/>
              </w:rPr>
              <w:t>Representativeness of the exposed c</w:t>
            </w:r>
            <w:r>
              <w:rPr>
                <w:lang w:val="en-GB"/>
              </w:rPr>
              <w:t>ohort</w:t>
            </w:r>
          </w:p>
        </w:tc>
        <w:tc>
          <w:tcPr>
            <w:tcW w:w="510" w:type="dxa"/>
          </w:tcPr>
          <w:p w14:paraId="20F3356F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D55B645" w14:textId="77777777" w:rsidR="00DE3A42" w:rsidRPr="00824D25" w:rsidRDefault="00897D70" w:rsidP="00F4171D">
            <w:pPr>
              <w:pStyle w:val="Geenafstand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C3E51D4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DD606EA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6D3EAC4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AE23E09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472E180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6419349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CBC42AA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D566A38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735C6DA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51A713D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276F50D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8A39691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6D3FDEA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DC0BE32" w14:textId="6847A655" w:rsidR="00DE3A42" w:rsidRPr="00B72209" w:rsidRDefault="00784D3D" w:rsidP="00F4171D">
            <w:pPr>
              <w:pStyle w:val="Geenafstand"/>
              <w:jc w:val="center"/>
              <w:rPr>
                <w:rFonts w:cstheme="minorHAnsi"/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64D42E1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D0B8CD9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F275C3D" w14:textId="77777777" w:rsidR="00DE3A42" w:rsidRPr="002C7BB5" w:rsidRDefault="00897D7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40A704B" w14:textId="77777777" w:rsidR="00DE3A42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F82C8E2" w14:textId="77777777" w:rsidR="00DE3A42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761658F" w14:textId="77777777" w:rsidR="00DE3A42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</w:tr>
      <w:tr w:rsidR="00524F5E" w:rsidRPr="002C7BB5" w14:paraId="1DE070A5" w14:textId="77777777" w:rsidTr="00732041">
        <w:trPr>
          <w:trHeight w:val="567"/>
        </w:trPr>
        <w:tc>
          <w:tcPr>
            <w:tcW w:w="3823" w:type="dxa"/>
            <w:shd w:val="clear" w:color="auto" w:fill="767171" w:themeFill="background2" w:themeFillShade="80"/>
          </w:tcPr>
          <w:p w14:paraId="5D8DD3E5" w14:textId="00AFFD31" w:rsidR="00524F5E" w:rsidRPr="002C7BB5" w:rsidRDefault="00524F5E" w:rsidP="00DE3A42">
            <w:pPr>
              <w:rPr>
                <w:lang w:val="en-GB"/>
              </w:rPr>
            </w:pPr>
            <w:r>
              <w:rPr>
                <w:lang w:val="en-GB"/>
              </w:rPr>
              <w:t>Selection of the non-exposed cohort</w:t>
            </w:r>
          </w:p>
        </w:tc>
        <w:tc>
          <w:tcPr>
            <w:tcW w:w="11220" w:type="dxa"/>
            <w:gridSpan w:val="22"/>
            <w:shd w:val="clear" w:color="auto" w:fill="767171" w:themeFill="background2" w:themeFillShade="80"/>
          </w:tcPr>
          <w:p w14:paraId="54A37586" w14:textId="2B1DC6F9" w:rsidR="00524F5E" w:rsidRPr="002C7BB5" w:rsidRDefault="00524F5E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Not a</w:t>
            </w:r>
            <w:r w:rsidR="00890C0B">
              <w:rPr>
                <w:lang w:val="en-GB"/>
              </w:rPr>
              <w:t>pplicable</w:t>
            </w:r>
          </w:p>
        </w:tc>
      </w:tr>
      <w:tr w:rsidR="00907C3A" w:rsidRPr="002C7BB5" w14:paraId="5A6F639E" w14:textId="77777777" w:rsidTr="00967924">
        <w:trPr>
          <w:trHeight w:val="567"/>
        </w:trPr>
        <w:tc>
          <w:tcPr>
            <w:tcW w:w="3823" w:type="dxa"/>
          </w:tcPr>
          <w:p w14:paraId="464E310C" w14:textId="77777777" w:rsidR="00907C3A" w:rsidRPr="002C7BB5" w:rsidRDefault="00907C3A" w:rsidP="00907C3A">
            <w:pPr>
              <w:rPr>
                <w:lang w:val="en-GB"/>
              </w:rPr>
            </w:pPr>
            <w:r>
              <w:rPr>
                <w:lang w:val="en-GB"/>
              </w:rPr>
              <w:t>Ascertainment of exposure</w:t>
            </w:r>
          </w:p>
        </w:tc>
        <w:tc>
          <w:tcPr>
            <w:tcW w:w="510" w:type="dxa"/>
          </w:tcPr>
          <w:p w14:paraId="40BC81A9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AC7043E" w14:textId="77777777" w:rsidR="00907C3A" w:rsidRPr="00824D25" w:rsidRDefault="00907C3A" w:rsidP="00F4171D">
            <w:pPr>
              <w:pStyle w:val="Geenafstand"/>
              <w:jc w:val="center"/>
              <w:rPr>
                <w:b/>
                <w:bCs/>
                <w:lang w:val="en-US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FFA7BD0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76CCABB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3AA3E8E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52E802B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3F79609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C43BBC0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D867E7B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BAF0454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4460DF1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E91A11A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3DE5862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3F17DD7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275A3EF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61EC0FF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4DEC0D1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097E506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E39DB84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CA7239A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30DC42E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22BEEA8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</w:tr>
      <w:tr w:rsidR="00907C3A" w:rsidRPr="002C7BB5" w14:paraId="6909C3CA" w14:textId="77777777" w:rsidTr="00F4171D">
        <w:trPr>
          <w:trHeight w:val="546"/>
        </w:trPr>
        <w:tc>
          <w:tcPr>
            <w:tcW w:w="3823" w:type="dxa"/>
          </w:tcPr>
          <w:p w14:paraId="7E4D9443" w14:textId="77777777" w:rsidR="00907C3A" w:rsidRPr="002C7BB5" w:rsidRDefault="00907C3A" w:rsidP="00907C3A">
            <w:pPr>
              <w:rPr>
                <w:lang w:val="en-GB"/>
              </w:rPr>
            </w:pPr>
            <w:r>
              <w:rPr>
                <w:lang w:val="en-GB"/>
              </w:rPr>
              <w:t>Demonstration that outcome of interest was not present at start of study</w:t>
            </w:r>
          </w:p>
        </w:tc>
        <w:tc>
          <w:tcPr>
            <w:tcW w:w="510" w:type="dxa"/>
          </w:tcPr>
          <w:p w14:paraId="013DD5D0" w14:textId="77777777" w:rsidR="00907C3A" w:rsidRPr="002C7BB5" w:rsidRDefault="00FB0160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3C404FA0" w14:textId="77777777" w:rsidR="00907C3A" w:rsidRPr="00824D25" w:rsidRDefault="00D7554C" w:rsidP="00F4171D">
            <w:pPr>
              <w:pStyle w:val="Geenafstand"/>
              <w:jc w:val="center"/>
              <w:rPr>
                <w:b/>
                <w:bCs/>
                <w:lang w:val="en-US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A3B7669" w14:textId="77777777" w:rsidR="00907C3A" w:rsidRPr="002C7BB5" w:rsidRDefault="00F4493A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63A4B73" w14:textId="7630B7F4" w:rsidR="00907C3A" w:rsidRPr="002C7BB5" w:rsidRDefault="004C3EA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256D4230" w14:textId="307EAF00" w:rsidR="00907C3A" w:rsidRPr="002C7BB5" w:rsidRDefault="004C3EA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6B90E2E2" w14:textId="55237284" w:rsidR="00907C3A" w:rsidRPr="002C7BB5" w:rsidRDefault="0001536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305CE1D4" w14:textId="4BED15D5" w:rsidR="00907C3A" w:rsidRPr="002C7BB5" w:rsidRDefault="0001536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65040E1" w14:textId="60598FF4" w:rsidR="00907C3A" w:rsidRPr="002C7BB5" w:rsidRDefault="00662C2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FD5E0C9" w14:textId="166B8179" w:rsidR="00907C3A" w:rsidRPr="002C7BB5" w:rsidRDefault="00B3676F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B1D7255" w14:textId="24F917D2" w:rsidR="00907C3A" w:rsidRPr="002C7BB5" w:rsidRDefault="00873A2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43B815B3" w14:textId="13AD45EE" w:rsidR="00907C3A" w:rsidRPr="002C7BB5" w:rsidRDefault="00873A2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0825404F" w14:textId="455B55BE" w:rsidR="00907C3A" w:rsidRPr="002C7BB5" w:rsidRDefault="00916C9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1820C6BB" w14:textId="06F3753E" w:rsidR="00907C3A" w:rsidRPr="002C7BB5" w:rsidRDefault="00C74C5E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3C74B7F8" w14:textId="0EA3B1A4" w:rsidR="00907C3A" w:rsidRPr="002C7BB5" w:rsidRDefault="00353F1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64C27C3C" w14:textId="341F1A8B" w:rsidR="00907C3A" w:rsidRPr="002C7BB5" w:rsidRDefault="00420746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424ED28" w14:textId="7A7D6455" w:rsidR="00907C3A" w:rsidRPr="002C7BB5" w:rsidRDefault="003E553E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67AAC576" w14:textId="5E04E4C5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D6626F9" w14:textId="50834EE6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72F1CF88" w14:textId="062151DE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41B393A2" w14:textId="55427C18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2133982D" w14:textId="3DD2C48B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5361C685" w14:textId="59140F93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907C3A" w:rsidRPr="002C7BB5" w14:paraId="54E60F49" w14:textId="77777777" w:rsidTr="00967924">
        <w:trPr>
          <w:trHeight w:val="567"/>
        </w:trPr>
        <w:tc>
          <w:tcPr>
            <w:tcW w:w="3823" w:type="dxa"/>
            <w:shd w:val="clear" w:color="auto" w:fill="767171" w:themeFill="background2" w:themeFillShade="80"/>
          </w:tcPr>
          <w:p w14:paraId="36A916AB" w14:textId="77777777" w:rsidR="00907C3A" w:rsidRPr="002C7BB5" w:rsidRDefault="00907C3A" w:rsidP="00907C3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Comparability </w:t>
            </w:r>
          </w:p>
        </w:tc>
        <w:tc>
          <w:tcPr>
            <w:tcW w:w="11220" w:type="dxa"/>
            <w:gridSpan w:val="22"/>
            <w:shd w:val="clear" w:color="auto" w:fill="767171" w:themeFill="background2" w:themeFillShade="80"/>
          </w:tcPr>
          <w:p w14:paraId="0FD76262" w14:textId="77777777" w:rsidR="00907C3A" w:rsidRPr="002C7BB5" w:rsidRDefault="00907C3A" w:rsidP="00F4171D">
            <w:pPr>
              <w:pStyle w:val="Geenafstand"/>
              <w:jc w:val="center"/>
              <w:rPr>
                <w:lang w:val="en-GB"/>
              </w:rPr>
            </w:pPr>
          </w:p>
        </w:tc>
      </w:tr>
      <w:tr w:rsidR="00524F5E" w:rsidRPr="002C7BB5" w14:paraId="4302E6BE" w14:textId="77777777" w:rsidTr="000C64F2">
        <w:trPr>
          <w:trHeight w:val="567"/>
        </w:trPr>
        <w:tc>
          <w:tcPr>
            <w:tcW w:w="3823" w:type="dxa"/>
            <w:shd w:val="clear" w:color="auto" w:fill="767171" w:themeFill="background2" w:themeFillShade="80"/>
          </w:tcPr>
          <w:p w14:paraId="18E53A84" w14:textId="77777777" w:rsidR="00524F5E" w:rsidRPr="00D75708" w:rsidRDefault="00524F5E" w:rsidP="00907C3A">
            <w:pPr>
              <w:rPr>
                <w:lang w:val="en-GB"/>
              </w:rPr>
            </w:pPr>
            <w:r>
              <w:rPr>
                <w:lang w:val="en-GB"/>
              </w:rPr>
              <w:t>Comparability of cohorts on the basis of the design or analysis</w:t>
            </w:r>
          </w:p>
        </w:tc>
        <w:tc>
          <w:tcPr>
            <w:tcW w:w="11220" w:type="dxa"/>
            <w:gridSpan w:val="22"/>
            <w:shd w:val="clear" w:color="auto" w:fill="767171" w:themeFill="background2" w:themeFillShade="80"/>
          </w:tcPr>
          <w:p w14:paraId="01054A60" w14:textId="4C8A4590" w:rsidR="00524F5E" w:rsidRPr="002C7BB5" w:rsidRDefault="00524F5E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Not a</w:t>
            </w:r>
            <w:r w:rsidR="00890C0B">
              <w:rPr>
                <w:lang w:val="en-GB"/>
              </w:rPr>
              <w:t>pplicable</w:t>
            </w:r>
          </w:p>
        </w:tc>
      </w:tr>
      <w:tr w:rsidR="00907C3A" w:rsidRPr="002C7BB5" w14:paraId="5C1A91EB" w14:textId="77777777" w:rsidTr="00967924">
        <w:trPr>
          <w:trHeight w:val="216"/>
        </w:trPr>
        <w:tc>
          <w:tcPr>
            <w:tcW w:w="3823" w:type="dxa"/>
          </w:tcPr>
          <w:p w14:paraId="615AE4C2" w14:textId="77777777" w:rsidR="00907C3A" w:rsidRPr="00D75708" w:rsidRDefault="00907C3A" w:rsidP="00907C3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Outcome </w:t>
            </w:r>
          </w:p>
        </w:tc>
        <w:tc>
          <w:tcPr>
            <w:tcW w:w="11220" w:type="dxa"/>
            <w:gridSpan w:val="22"/>
          </w:tcPr>
          <w:p w14:paraId="7706D4B1" w14:textId="77777777" w:rsidR="00907C3A" w:rsidRPr="004E58D4" w:rsidRDefault="00907C3A" w:rsidP="00F4171D">
            <w:pPr>
              <w:pStyle w:val="Geenafstand"/>
              <w:jc w:val="center"/>
              <w:rPr>
                <w:sz w:val="18"/>
                <w:szCs w:val="24"/>
                <w:lang w:val="en-GB"/>
              </w:rPr>
            </w:pPr>
          </w:p>
        </w:tc>
      </w:tr>
      <w:tr w:rsidR="00907C3A" w:rsidRPr="002C7BB5" w14:paraId="5524320D" w14:textId="77777777" w:rsidTr="00967924">
        <w:trPr>
          <w:trHeight w:val="567"/>
        </w:trPr>
        <w:tc>
          <w:tcPr>
            <w:tcW w:w="3823" w:type="dxa"/>
          </w:tcPr>
          <w:p w14:paraId="025CDBE3" w14:textId="77777777" w:rsidR="00907C3A" w:rsidRPr="00D75708" w:rsidRDefault="00907C3A" w:rsidP="00907C3A">
            <w:pPr>
              <w:rPr>
                <w:lang w:val="en-GB"/>
              </w:rPr>
            </w:pPr>
            <w:r>
              <w:rPr>
                <w:lang w:val="en-GB"/>
              </w:rPr>
              <w:t>Assessment of outcome</w:t>
            </w:r>
          </w:p>
        </w:tc>
        <w:tc>
          <w:tcPr>
            <w:tcW w:w="510" w:type="dxa"/>
          </w:tcPr>
          <w:p w14:paraId="3F6C3C14" w14:textId="1FC4FEA5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6498FFA" w14:textId="024BEC3F" w:rsidR="00907C3A" w:rsidRPr="004E58D4" w:rsidRDefault="00403E5E" w:rsidP="00F4171D">
            <w:pPr>
              <w:pStyle w:val="Geenafstand"/>
              <w:jc w:val="center"/>
              <w:rPr>
                <w:b/>
                <w:sz w:val="18"/>
                <w:szCs w:val="24"/>
                <w:lang w:val="en-US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F2549F4" w14:textId="77777777" w:rsidR="00907C3A" w:rsidRPr="002C7BB5" w:rsidRDefault="00C85DAF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492F135" w14:textId="7042BD7F" w:rsidR="00907C3A" w:rsidRPr="002C7BB5" w:rsidRDefault="004159CC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43C3061" w14:textId="0B32A207" w:rsidR="00907C3A" w:rsidRPr="002C7BB5" w:rsidRDefault="004C3EA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418E6EE" w14:textId="6081D959" w:rsidR="00907C3A" w:rsidRPr="00607331" w:rsidRDefault="004B4082" w:rsidP="00F4171D">
            <w:pPr>
              <w:pStyle w:val="Geenafstand"/>
              <w:jc w:val="center"/>
              <w:rPr>
                <w:rFonts w:cstheme="minorHAnsi"/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A6035AA" w14:textId="3CFE69CA" w:rsidR="00907C3A" w:rsidRPr="002C7BB5" w:rsidRDefault="004159CC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7F7A8AD" w14:textId="316AF182" w:rsidR="00907C3A" w:rsidRPr="002C7BB5" w:rsidRDefault="00662C2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30EE0AB" w14:textId="59A7D38C" w:rsidR="00907C3A" w:rsidRPr="002C7BB5" w:rsidRDefault="00B3676F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CCDE891" w14:textId="2A6E510C" w:rsidR="00907C3A" w:rsidRPr="002C7BB5" w:rsidRDefault="00EC4B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2600AD3" w14:textId="2DBBAB74" w:rsidR="00907C3A" w:rsidRPr="002C7BB5" w:rsidRDefault="00873A2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98BF5C7" w14:textId="418278A6" w:rsidR="00907C3A" w:rsidRPr="002C7BB5" w:rsidRDefault="00916C9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960A4D1" w14:textId="06D07A60" w:rsidR="00907C3A" w:rsidRPr="002C7BB5" w:rsidRDefault="00C74C5E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B9FC862" w14:textId="23EAE817" w:rsidR="00907C3A" w:rsidRPr="002C7BB5" w:rsidRDefault="00353F1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BD72500" w14:textId="206F0DC6" w:rsidR="00907C3A" w:rsidRPr="002C7BB5" w:rsidRDefault="00420746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7B36330" w14:textId="707C26BC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7F121BF" w14:textId="7AD5254D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8A87926" w14:textId="65E700B7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23C7BB2" w14:textId="0320386D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5625426" w14:textId="6A136796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84312A4" w14:textId="0579D00B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02EF970" w14:textId="71A66C4A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</w:tr>
      <w:tr w:rsidR="00907C3A" w:rsidRPr="002C7BB5" w14:paraId="01A1A691" w14:textId="77777777" w:rsidTr="00967924">
        <w:trPr>
          <w:trHeight w:val="567"/>
        </w:trPr>
        <w:tc>
          <w:tcPr>
            <w:tcW w:w="3823" w:type="dxa"/>
          </w:tcPr>
          <w:p w14:paraId="68A0FA02" w14:textId="77777777" w:rsidR="00907C3A" w:rsidRPr="002C7BB5" w:rsidRDefault="00907C3A" w:rsidP="00907C3A">
            <w:pPr>
              <w:rPr>
                <w:lang w:val="en-GB"/>
              </w:rPr>
            </w:pPr>
            <w:r>
              <w:rPr>
                <w:lang w:val="en-GB"/>
              </w:rPr>
              <w:t>Was follow-up long enough for outcomes to occur</w:t>
            </w:r>
          </w:p>
        </w:tc>
        <w:tc>
          <w:tcPr>
            <w:tcW w:w="510" w:type="dxa"/>
          </w:tcPr>
          <w:p w14:paraId="02A3FE0A" w14:textId="2D2EF4B6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8557AE8" w14:textId="62E8B99A" w:rsidR="00907C3A" w:rsidRPr="007B47E6" w:rsidRDefault="008532B4" w:rsidP="00F4171D">
            <w:pPr>
              <w:pStyle w:val="Geenafstand"/>
              <w:jc w:val="center"/>
              <w:rPr>
                <w:rFonts w:cstheme="minorHAnsi"/>
                <w:b/>
                <w:sz w:val="18"/>
                <w:szCs w:val="24"/>
                <w:lang w:val="en-US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258F5BE" w14:textId="7D6EC53A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9D8543D" w14:textId="51D30FB8" w:rsidR="00907C3A" w:rsidRPr="007B47E6" w:rsidRDefault="008532B4" w:rsidP="00F4171D">
            <w:pPr>
              <w:pStyle w:val="Geenafstand"/>
              <w:jc w:val="center"/>
              <w:rPr>
                <w:rFonts w:cstheme="minorHAnsi"/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B247650" w14:textId="1D913D7B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0DB9FD8" w14:textId="77777777" w:rsidR="00907C3A" w:rsidRPr="002C7BB5" w:rsidRDefault="004E58D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49017EE" w14:textId="67F05174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6F2E5F9" w14:textId="63353739" w:rsidR="00907C3A" w:rsidRPr="002C7BB5" w:rsidRDefault="00C43A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F6D3323" w14:textId="0971AAB5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B4F899A" w14:textId="3AADCDFD" w:rsidR="00907C3A" w:rsidRPr="007B47E6" w:rsidRDefault="008532B4" w:rsidP="00F4171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55EA227" w14:textId="5A0DF26C" w:rsidR="00907C3A" w:rsidRPr="007B47E6" w:rsidRDefault="008532B4" w:rsidP="00F4171D">
            <w:pPr>
              <w:pStyle w:val="Geenafstand"/>
              <w:jc w:val="center"/>
              <w:rPr>
                <w:rFonts w:cstheme="minorHAnsi"/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A7F7768" w14:textId="30A9AA0F" w:rsidR="00907C3A" w:rsidRPr="002C7BB5" w:rsidRDefault="00C43A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7147DF7" w14:textId="68AE93E1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8313483" w14:textId="43CEE19C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2B85FE0" w14:textId="552413D4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6430FDC" w14:textId="0C6C0C70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5C42B95" w14:textId="565D3427" w:rsidR="00907C3A" w:rsidRPr="002C7BB5" w:rsidRDefault="00C43A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1C8E9F8" w14:textId="2825D52B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3C485DF" w14:textId="5C09AB14" w:rsidR="00907C3A" w:rsidRPr="002C7BB5" w:rsidRDefault="00C43A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5506705" w14:textId="495ABD11" w:rsidR="00907C3A" w:rsidRPr="002C7BB5" w:rsidRDefault="008532B4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88D25B3" w14:textId="5B32DF96" w:rsidR="00907C3A" w:rsidRPr="002C7BB5" w:rsidRDefault="00C43A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49EC19AC" w14:textId="0F90BA9D" w:rsidR="00907C3A" w:rsidRPr="002C7BB5" w:rsidRDefault="00C43AD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</w:tr>
      <w:tr w:rsidR="00907C3A" w:rsidRPr="004159CC" w14:paraId="74B37989" w14:textId="77777777" w:rsidTr="00967924">
        <w:trPr>
          <w:trHeight w:val="567"/>
        </w:trPr>
        <w:tc>
          <w:tcPr>
            <w:tcW w:w="3823" w:type="dxa"/>
          </w:tcPr>
          <w:p w14:paraId="317FBC4D" w14:textId="77777777" w:rsidR="00907C3A" w:rsidRPr="002C7BB5" w:rsidRDefault="00907C3A" w:rsidP="00907C3A">
            <w:pPr>
              <w:rPr>
                <w:lang w:val="en-GB"/>
              </w:rPr>
            </w:pPr>
            <w:r>
              <w:rPr>
                <w:lang w:val="en-GB"/>
              </w:rPr>
              <w:t>Adequacy of follow up of cohorts</w:t>
            </w:r>
          </w:p>
        </w:tc>
        <w:tc>
          <w:tcPr>
            <w:tcW w:w="510" w:type="dxa"/>
          </w:tcPr>
          <w:p w14:paraId="0C67B596" w14:textId="4E6F9A1A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01ADF1C8" w14:textId="4658A8F5" w:rsidR="00907C3A" w:rsidRPr="004E58D4" w:rsidRDefault="004B58F1" w:rsidP="00F4171D">
            <w:pPr>
              <w:pStyle w:val="Geenafstand"/>
              <w:jc w:val="center"/>
              <w:rPr>
                <w:b/>
                <w:sz w:val="18"/>
                <w:szCs w:val="24"/>
                <w:lang w:val="en-US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9213CEB" w14:textId="2A77BC3A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5B2AC87E" w14:textId="17DD91F1" w:rsidR="00907C3A" w:rsidRPr="002C7BB5" w:rsidRDefault="004C3EA5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135A7D0B" w14:textId="4E7CBC4F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117BD7D4" w14:textId="4B8714AD" w:rsidR="00907C3A" w:rsidRPr="002C7BB5" w:rsidRDefault="00015363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713A8C5" w14:textId="2251083B" w:rsidR="00907C3A" w:rsidRPr="002C7BB5" w:rsidRDefault="004B4082" w:rsidP="00F4171D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283E75B8" w14:textId="6EBFCAE9" w:rsidR="00907C3A" w:rsidRPr="004159CC" w:rsidRDefault="00662C25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F36D9C0" w14:textId="19B577A2" w:rsidR="00907C3A" w:rsidRPr="004159CC" w:rsidRDefault="004B4082" w:rsidP="00F4171D">
            <w:pPr>
              <w:pStyle w:val="Geenafstand"/>
              <w:jc w:val="center"/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764C86A5" w14:textId="76A4EC2A" w:rsidR="00907C3A" w:rsidRPr="004159CC" w:rsidRDefault="00524F5E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70D6575B" w14:textId="222C8873" w:rsidR="00907C3A" w:rsidRPr="004159CC" w:rsidRDefault="00E12589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9E24228" w14:textId="414BBC15" w:rsidR="00907C3A" w:rsidRPr="004159CC" w:rsidRDefault="00916C94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810DB5D" w14:textId="61BB3E2B" w:rsidR="00907C3A" w:rsidRPr="004159CC" w:rsidRDefault="004B4082" w:rsidP="00F4171D">
            <w:pPr>
              <w:pStyle w:val="Geenafstand"/>
              <w:jc w:val="center"/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29BC48AB" w14:textId="05D671F5" w:rsidR="00907C3A" w:rsidRPr="004159CC" w:rsidRDefault="00353F13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373C7F58" w14:textId="23C2B3B4" w:rsidR="00907C3A" w:rsidRPr="004159CC" w:rsidRDefault="00890C0B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26EE27CA" w14:textId="674CD9ED" w:rsidR="00907C3A" w:rsidRPr="004159CC" w:rsidRDefault="004B4082" w:rsidP="00F4171D">
            <w:pPr>
              <w:pStyle w:val="Geenafstand"/>
              <w:jc w:val="center"/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19793B8A" w14:textId="7CC945AF" w:rsidR="00907C3A" w:rsidRPr="004159CC" w:rsidRDefault="008532B4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5AEDD7BA" w14:textId="0A513EEE" w:rsidR="00907C3A" w:rsidRPr="004159CC" w:rsidRDefault="004B4082" w:rsidP="00F4171D">
            <w:pPr>
              <w:pStyle w:val="Geenafstand"/>
              <w:jc w:val="center"/>
            </w:pPr>
            <w:r>
              <w:rPr>
                <w:lang w:val="en-GB"/>
              </w:rPr>
              <w:t>-</w:t>
            </w:r>
          </w:p>
        </w:tc>
        <w:tc>
          <w:tcPr>
            <w:tcW w:w="510" w:type="dxa"/>
          </w:tcPr>
          <w:p w14:paraId="7179D60E" w14:textId="474E61D4" w:rsidR="00907C3A" w:rsidRPr="004159CC" w:rsidRDefault="008532B4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A15CEF8" w14:textId="250BEAFC" w:rsidR="00907C3A" w:rsidRPr="004159CC" w:rsidRDefault="008532B4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61B1F1E8" w14:textId="54F86A55" w:rsidR="00907C3A" w:rsidRPr="004159CC" w:rsidRDefault="008532B4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510" w:type="dxa"/>
          </w:tcPr>
          <w:p w14:paraId="029A4E1E" w14:textId="189556AF" w:rsidR="00907C3A" w:rsidRPr="004159CC" w:rsidRDefault="008532B4" w:rsidP="00F4171D">
            <w:pPr>
              <w:pStyle w:val="Geenafstand"/>
              <w:jc w:val="center"/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</w:tr>
    </w:tbl>
    <w:p w14:paraId="109240D8" w14:textId="77777777" w:rsidR="00C40A0C" w:rsidRPr="002C7BB5" w:rsidRDefault="00C40A0C">
      <w:pPr>
        <w:rPr>
          <w:lang w:val="en-GB"/>
        </w:rPr>
      </w:pPr>
    </w:p>
    <w:sectPr w:rsidR="00C40A0C" w:rsidRPr="002C7BB5" w:rsidSect="00C40A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38194E" w16cid:durableId="226057CE"/>
  <w16cid:commentId w16cid:paraId="37453B2B" w16cid:durableId="225F06E5"/>
  <w16cid:commentId w16cid:paraId="12F8FDCB" w16cid:durableId="226AA36B"/>
  <w16cid:commentId w16cid:paraId="75FBB117" w16cid:durableId="225FF8CE"/>
  <w16cid:commentId w16cid:paraId="772B3432" w16cid:durableId="226AA36D"/>
  <w16cid:commentId w16cid:paraId="64CB5D43" w16cid:durableId="225FFA28"/>
  <w16cid:commentId w16cid:paraId="40AEDF4A" w16cid:durableId="226AA36F"/>
  <w16cid:commentId w16cid:paraId="68C5C66D" w16cid:durableId="22602A3D"/>
  <w16cid:commentId w16cid:paraId="1A618431" w16cid:durableId="226AA371"/>
  <w16cid:commentId w16cid:paraId="4FE7E125" w16cid:durableId="22602C3B"/>
  <w16cid:commentId w16cid:paraId="683F7594" w16cid:durableId="226AA373"/>
  <w16cid:commentId w16cid:paraId="0DF3E4F6" w16cid:durableId="226AA374"/>
  <w16cid:commentId w16cid:paraId="0DB521D6" w16cid:durableId="225F0341"/>
  <w16cid:commentId w16cid:paraId="75A99469" w16cid:durableId="226AA376"/>
  <w16cid:commentId w16cid:paraId="1841D17A" w16cid:durableId="225EB3D9"/>
  <w16cid:commentId w16cid:paraId="1C7BD90A" w16cid:durableId="226AA378"/>
  <w16cid:commentId w16cid:paraId="1F94CF34" w16cid:durableId="225FFB87"/>
  <w16cid:commentId w16cid:paraId="0D31A5DC" w16cid:durableId="226AA37A"/>
  <w16cid:commentId w16cid:paraId="78DFB69A" w16cid:durableId="225F0451"/>
  <w16cid:commentId w16cid:paraId="2B0D45DE" w16cid:durableId="22600B06"/>
  <w16cid:commentId w16cid:paraId="28DF57AE" w16cid:durableId="226AA3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0C"/>
    <w:rsid w:val="00015363"/>
    <w:rsid w:val="00126419"/>
    <w:rsid w:val="002C7BB5"/>
    <w:rsid w:val="00353F13"/>
    <w:rsid w:val="0037708B"/>
    <w:rsid w:val="00395C2C"/>
    <w:rsid w:val="003E0319"/>
    <w:rsid w:val="003E553E"/>
    <w:rsid w:val="00403E5E"/>
    <w:rsid w:val="004101F5"/>
    <w:rsid w:val="004159CC"/>
    <w:rsid w:val="00420746"/>
    <w:rsid w:val="004B4082"/>
    <w:rsid w:val="004B58F1"/>
    <w:rsid w:val="004C3EA5"/>
    <w:rsid w:val="004E58D4"/>
    <w:rsid w:val="00524F5E"/>
    <w:rsid w:val="00607331"/>
    <w:rsid w:val="00662C25"/>
    <w:rsid w:val="00784D3D"/>
    <w:rsid w:val="007B47E6"/>
    <w:rsid w:val="007E2D6F"/>
    <w:rsid w:val="008532B4"/>
    <w:rsid w:val="00855CE8"/>
    <w:rsid w:val="00873A23"/>
    <w:rsid w:val="00890C0B"/>
    <w:rsid w:val="00897D70"/>
    <w:rsid w:val="009054EE"/>
    <w:rsid w:val="00907C3A"/>
    <w:rsid w:val="00916C94"/>
    <w:rsid w:val="00967924"/>
    <w:rsid w:val="009730ED"/>
    <w:rsid w:val="00A864FC"/>
    <w:rsid w:val="00A92BA0"/>
    <w:rsid w:val="00B3676F"/>
    <w:rsid w:val="00B72209"/>
    <w:rsid w:val="00BA3BD2"/>
    <w:rsid w:val="00BD0E40"/>
    <w:rsid w:val="00C40A0C"/>
    <w:rsid w:val="00C43AD5"/>
    <w:rsid w:val="00C74C5E"/>
    <w:rsid w:val="00C85DAF"/>
    <w:rsid w:val="00D7554C"/>
    <w:rsid w:val="00D75708"/>
    <w:rsid w:val="00DB4D1D"/>
    <w:rsid w:val="00DE3A42"/>
    <w:rsid w:val="00E12589"/>
    <w:rsid w:val="00EC4BD5"/>
    <w:rsid w:val="00F4171D"/>
    <w:rsid w:val="00F4493A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39F7"/>
  <w15:chartTrackingRefBased/>
  <w15:docId w15:val="{6B89CE9C-62EC-4517-9258-182A18F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95C2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755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55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55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55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55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F758-ACA6-4175-862C-99C31181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Zaat</dc:creator>
  <cp:keywords/>
  <dc:description/>
  <cp:lastModifiedBy>Mooij, C.F. (Christiaan)</cp:lastModifiedBy>
  <cp:revision>2</cp:revision>
  <dcterms:created xsi:type="dcterms:W3CDTF">2020-05-16T21:11:00Z</dcterms:created>
  <dcterms:modified xsi:type="dcterms:W3CDTF">2020-05-16T21:11:00Z</dcterms:modified>
</cp:coreProperties>
</file>