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C4C4C" w14:textId="77777777" w:rsidR="00E85CFC" w:rsidRDefault="00E85CFC" w:rsidP="00D03BC5">
      <w:pPr>
        <w:jc w:val="center"/>
      </w:pPr>
      <w:r>
        <w:rPr>
          <w:noProof/>
        </w:rPr>
        <w:drawing>
          <wp:inline distT="0" distB="0" distL="0" distR="0" wp14:anchorId="490F1A51" wp14:editId="637170FC">
            <wp:extent cx="4629150" cy="4460240"/>
            <wp:effectExtent l="0" t="0" r="0" b="0"/>
            <wp:docPr id="3" name="Picture 3" descr="E:\eman\my researches\manal + eman\ah anwar\diabetic retinopathy\vegf\corr vegf.tiff"/>
            <wp:cNvGraphicFramePr/>
            <a:graphic xmlns:a="http://schemas.openxmlformats.org/drawingml/2006/main">
              <a:graphicData uri="http://schemas.openxmlformats.org/drawingml/2006/picture">
                <pic:pic xmlns:pic="http://schemas.openxmlformats.org/drawingml/2006/picture">
                  <pic:nvPicPr>
                    <pic:cNvPr id="3" name="Picture 3" descr="E:\eman\my researches\manal + eman\ah anwar\diabetic retinopathy\vegf\corr vegf.tiff"/>
                    <pic:cNvPicPr/>
                  </pic:nvPicPr>
                  <pic:blipFill rotWithShape="1">
                    <a:blip r:embed="rId4">
                      <a:extLst>
                        <a:ext uri="{28A0092B-C50C-407E-A947-70E740481C1C}">
                          <a14:useLocalDpi xmlns:a14="http://schemas.microsoft.com/office/drawing/2010/main" val="0"/>
                        </a:ext>
                      </a:extLst>
                    </a:blip>
                    <a:srcRect l="20617" t="3971" r="13964"/>
                    <a:stretch/>
                  </pic:blipFill>
                  <pic:spPr bwMode="auto">
                    <a:xfrm>
                      <a:off x="0" y="0"/>
                      <a:ext cx="4629150" cy="446024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85CFC" w14:paraId="16139DF1" w14:textId="77777777" w:rsidTr="00E85CFC">
        <w:trPr>
          <w:jc w:val="center"/>
        </w:trPr>
        <w:tc>
          <w:tcPr>
            <w:tcW w:w="9923" w:type="dxa"/>
          </w:tcPr>
          <w:p w14:paraId="4E57B6FB" w14:textId="77777777" w:rsidR="00E85CFC" w:rsidRDefault="00E85CFC">
            <w:pPr>
              <w:jc w:val="center"/>
              <w:rPr>
                <w:rFonts w:asciiTheme="majorBidi" w:hAnsiTheme="majorBidi" w:cstheme="majorBidi"/>
                <w:b/>
                <w:bCs/>
              </w:rPr>
            </w:pPr>
          </w:p>
        </w:tc>
      </w:tr>
      <w:tr w:rsidR="00E85CFC" w14:paraId="35671CD9" w14:textId="77777777" w:rsidTr="00E85CFC">
        <w:trPr>
          <w:jc w:val="center"/>
        </w:trPr>
        <w:tc>
          <w:tcPr>
            <w:tcW w:w="9923" w:type="dxa"/>
          </w:tcPr>
          <w:p w14:paraId="099EE977" w14:textId="742A813B" w:rsidR="00E85CFC" w:rsidRDefault="00EB3622" w:rsidP="005841E7">
            <w:pPr>
              <w:spacing w:line="360" w:lineRule="auto"/>
              <w:jc w:val="both"/>
              <w:rPr>
                <w:rFonts w:asciiTheme="majorBidi" w:hAnsiTheme="majorBidi" w:cstheme="majorBidi"/>
                <w:b/>
                <w:bCs/>
              </w:rPr>
            </w:pPr>
            <w:r>
              <w:rPr>
                <w:rFonts w:asciiTheme="majorBidi" w:hAnsiTheme="majorBidi" w:cstheme="majorBidi"/>
                <w:b/>
                <w:bCs/>
              </w:rPr>
              <w:t>Fig</w:t>
            </w:r>
            <w:r w:rsidR="00947D1D">
              <w:rPr>
                <w:rFonts w:asciiTheme="majorBidi" w:hAnsiTheme="majorBidi" w:cstheme="majorBidi"/>
                <w:b/>
                <w:bCs/>
              </w:rPr>
              <w:t>.</w:t>
            </w:r>
            <w:r>
              <w:rPr>
                <w:rFonts w:asciiTheme="majorBidi" w:hAnsiTheme="majorBidi" w:cstheme="majorBidi"/>
                <w:b/>
                <w:bCs/>
              </w:rPr>
              <w:t xml:space="preserve"> S1</w:t>
            </w:r>
            <w:r w:rsidR="00F12B09">
              <w:rPr>
                <w:rFonts w:asciiTheme="majorBidi" w:hAnsiTheme="majorBidi" w:cstheme="majorBidi"/>
                <w:b/>
                <w:bCs/>
              </w:rPr>
              <w:t>.</w:t>
            </w:r>
            <w:r w:rsidR="00E85CFC">
              <w:rPr>
                <w:rFonts w:asciiTheme="majorBidi" w:hAnsiTheme="majorBidi" w:cstheme="majorBidi"/>
                <w:b/>
                <w:bCs/>
              </w:rPr>
              <w:t xml:space="preserve"> </w:t>
            </w:r>
            <w:r w:rsidR="00E85CFC" w:rsidRPr="0062780D">
              <w:rPr>
                <w:rFonts w:asciiTheme="majorBidi" w:hAnsiTheme="majorBidi" w:cstheme="majorBidi"/>
                <w:b/>
                <w:bCs/>
              </w:rPr>
              <w:t>Correlation matrix between disease characteristics</w:t>
            </w:r>
            <w:r w:rsidR="00E85CFC" w:rsidRPr="005841E7">
              <w:rPr>
                <w:rFonts w:asciiTheme="majorBidi" w:hAnsiTheme="majorBidi" w:cstheme="majorBidi"/>
              </w:rPr>
              <w:t>. Spea</w:t>
            </w:r>
            <w:r w:rsidR="005841E7">
              <w:rPr>
                <w:rFonts w:asciiTheme="majorBidi" w:hAnsiTheme="majorBidi" w:cstheme="majorBidi"/>
              </w:rPr>
              <w:t xml:space="preserve">rman's rank test was used. Only. </w:t>
            </w:r>
            <w:r w:rsidR="00FE4149">
              <w:rPr>
                <w:rFonts w:asciiTheme="majorBidi" w:hAnsiTheme="majorBidi" w:cstheme="majorBidi"/>
              </w:rPr>
              <w:t>A s</w:t>
            </w:r>
            <w:r w:rsidR="00E85CFC">
              <w:rPr>
                <w:rFonts w:asciiTheme="majorBidi" w:hAnsiTheme="majorBidi" w:cstheme="majorBidi"/>
              </w:rPr>
              <w:t>ignificant correlation coefficient (r) is shown. TTT: treatment, HTN: hypertension, CMT: central macular density, VA: visual acuity, pre: pretreatment, post: post-treatment, diff: change difference between pre- and post-treatment.</w:t>
            </w:r>
            <w:r w:rsidR="00E85CFC">
              <w:rPr>
                <w:rFonts w:asciiTheme="majorBidi" w:hAnsiTheme="majorBidi" w:cstheme="majorBidi"/>
                <w:b/>
                <w:bCs/>
              </w:rPr>
              <w:t xml:space="preserve"> </w:t>
            </w:r>
          </w:p>
          <w:p w14:paraId="306F3593" w14:textId="77777777" w:rsidR="00E85CFC" w:rsidRDefault="00E85CFC" w:rsidP="00E85CFC">
            <w:pPr>
              <w:spacing w:line="360" w:lineRule="auto"/>
              <w:rPr>
                <w:rFonts w:asciiTheme="majorBidi" w:hAnsiTheme="majorBidi" w:cstheme="majorBidi"/>
              </w:rPr>
            </w:pPr>
          </w:p>
        </w:tc>
      </w:tr>
    </w:tbl>
    <w:p w14:paraId="4FCA7F82" w14:textId="77777777" w:rsidR="00E85CFC" w:rsidRDefault="00E85CFC"/>
    <w:p w14:paraId="268A6D6D" w14:textId="77777777" w:rsidR="00E85CFC" w:rsidRDefault="00E85CFC"/>
    <w:p w14:paraId="2794C837" w14:textId="77777777" w:rsidR="00E85CFC" w:rsidRDefault="00E85CFC"/>
    <w:p w14:paraId="11D1A2C0" w14:textId="55C75484" w:rsidR="00E85CFC" w:rsidRDefault="00E85CFC"/>
    <w:p w14:paraId="5B0236BA" w14:textId="7EFA5130" w:rsidR="009D3BFB" w:rsidRDefault="009D3BFB"/>
    <w:p w14:paraId="6409938C" w14:textId="5E6E5E77" w:rsidR="009D3BFB" w:rsidRDefault="009D3BFB"/>
    <w:p w14:paraId="4B2AD7B1" w14:textId="45A180AF" w:rsidR="009D3BFB" w:rsidRDefault="009D3BFB"/>
    <w:p w14:paraId="5FD29C2E" w14:textId="5BFDC98F" w:rsidR="009D3BFB" w:rsidRDefault="009D3BFB">
      <w:r>
        <w:rPr>
          <w:noProof/>
        </w:rPr>
        <w:lastRenderedPageBreak/>
        <w:drawing>
          <wp:inline distT="0" distB="0" distL="0" distR="0" wp14:anchorId="2E50BC7C" wp14:editId="6A5BBA0F">
            <wp:extent cx="5161279" cy="3368040"/>
            <wp:effectExtent l="0" t="0" r="1905" b="3810"/>
            <wp:docPr id="65" name="Picture 64"/>
            <wp:cNvGraphicFramePr/>
            <a:graphic xmlns:a="http://schemas.openxmlformats.org/drawingml/2006/main">
              <a:graphicData uri="http://schemas.openxmlformats.org/drawingml/2006/picture">
                <pic:pic xmlns:pic="http://schemas.openxmlformats.org/drawingml/2006/picture">
                  <pic:nvPicPr>
                    <pic:cNvPr id="65" name="Picture 64"/>
                    <pic:cNvPicPr preferRelativeResize="0"/>
                  </pic:nvPicPr>
                  <pic:blipFill>
                    <a:blip r:embed="rId5"/>
                    <a:stretch>
                      <a:fillRect/>
                    </a:stretch>
                  </pic:blipFill>
                  <pic:spPr>
                    <a:xfrm>
                      <a:off x="0" y="0"/>
                      <a:ext cx="5175203" cy="3377126"/>
                    </a:xfrm>
                    <a:prstGeom prst="rect">
                      <a:avLst/>
                    </a:prstGeom>
                    <a:solidFill>
                      <a:schemeClr val="bg1"/>
                    </a:solidFill>
                  </pic:spPr>
                </pic:pic>
              </a:graphicData>
            </a:graphic>
          </wp:inline>
        </w:drawing>
      </w:r>
    </w:p>
    <w:p w14:paraId="141AF24D" w14:textId="77777777" w:rsidR="009D3BFB" w:rsidRPr="001C05F8" w:rsidRDefault="009D3BFB" w:rsidP="009D3BFB">
      <w:pPr>
        <w:widowControl w:val="0"/>
        <w:spacing w:before="100" w:beforeAutospacing="1" w:after="0" w:line="480" w:lineRule="auto"/>
        <w:jc w:val="both"/>
        <w:rPr>
          <w:rFonts w:asciiTheme="majorBidi" w:hAnsiTheme="majorBidi" w:cstheme="majorBidi"/>
          <w:sz w:val="24"/>
          <w:szCs w:val="24"/>
        </w:rPr>
      </w:pPr>
      <w:r w:rsidRPr="001C05F8">
        <w:rPr>
          <w:rFonts w:asciiTheme="majorBidi" w:hAnsiTheme="majorBidi" w:cstheme="majorBidi"/>
          <w:b/>
          <w:bCs/>
          <w:sz w:val="24"/>
          <w:szCs w:val="24"/>
        </w:rPr>
        <w:t>Fig. S2. Protein-protein interaction.</w:t>
      </w:r>
      <w:r w:rsidRPr="001C05F8">
        <w:rPr>
          <w:rFonts w:asciiTheme="majorBidi" w:hAnsiTheme="majorBidi" w:cstheme="majorBidi"/>
          <w:bCs/>
          <w:sz w:val="24"/>
          <w:szCs w:val="24"/>
        </w:rPr>
        <w:t xml:space="preserve"> PPI were retrieved from STRING database (</w:t>
      </w:r>
      <w:hyperlink r:id="rId6" w:history="1">
        <w:r w:rsidRPr="001C05F8">
          <w:rPr>
            <w:rStyle w:val="Hyperlink"/>
            <w:rFonts w:asciiTheme="majorBidi" w:hAnsiTheme="majorBidi" w:cstheme="majorBidi"/>
            <w:sz w:val="24"/>
            <w:szCs w:val="24"/>
          </w:rPr>
          <w:t>https://string-db.org</w:t>
        </w:r>
      </w:hyperlink>
      <w:r w:rsidRPr="001C05F8">
        <w:rPr>
          <w:rFonts w:asciiTheme="majorBidi" w:hAnsiTheme="majorBidi" w:cstheme="majorBidi"/>
          <w:bCs/>
          <w:sz w:val="24"/>
          <w:szCs w:val="24"/>
        </w:rPr>
        <w:t xml:space="preserve">) which relies on text mining, experiments, databases, co-expression, gene fusion, and co-occurrence data. Minimum interaction score was set at the highest confidence (0.900). Maximum number of interactors to be shown in the first shell was set to be less than 10 interactors. The network consists of 15 nodes and 64 edges. The average local clustering coefficient is 0.83 and PPI enrichment p-value is &lt;1.0e-16. Line color indicates the type of interaction. </w:t>
      </w:r>
    </w:p>
    <w:p w14:paraId="68CE1F6E" w14:textId="77777777" w:rsidR="009D3BFB" w:rsidRPr="001C05F8" w:rsidRDefault="009D3BFB" w:rsidP="009D3BFB">
      <w:pPr>
        <w:spacing w:after="0" w:line="480" w:lineRule="auto"/>
        <w:jc w:val="both"/>
        <w:rPr>
          <w:rFonts w:asciiTheme="majorBidi" w:hAnsiTheme="majorBidi" w:cstheme="majorBidi"/>
          <w:sz w:val="24"/>
          <w:szCs w:val="24"/>
        </w:rPr>
      </w:pPr>
      <w:r w:rsidRPr="001C05F8">
        <w:rPr>
          <w:rFonts w:asciiTheme="majorBidi" w:hAnsiTheme="majorBidi" w:cstheme="majorBidi"/>
          <w:bCs/>
          <w:sz w:val="24"/>
          <w:szCs w:val="24"/>
        </w:rPr>
        <w:t>CDH5: Cadherin-5; EGF: Pro-epidermal growth factor; FLT1: Vascular endothelial growth factor receptor 1; FLT4: Vascular endothelial growth factor receptor 3; HIF-1A: Hypoxia-inducible factor 1-alpha; KDR: Vascular endothelial growth factor receptor 2; NRP1: Neuropilin-1; NRP2: Neuropilin-2; PGF: Placenta growth factor;  STAT3: Signal transducer and activator of transcription 3; TGFB1: Transforming growth factor beta-1; VEGFA: Vascular endothelial growth factor A; VEGFB: Vascular endothelial growth factor B; VEGFC: Vascular endothelial growth factor C.</w:t>
      </w:r>
    </w:p>
    <w:p w14:paraId="091F8F26" w14:textId="77777777" w:rsidR="006614B8" w:rsidRDefault="006614B8" w:rsidP="006614B8">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207DE9CF" wp14:editId="197F6984">
            <wp:extent cx="5933440" cy="720344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215775"/>
                    </a:xfrm>
                    <a:prstGeom prst="rect">
                      <a:avLst/>
                    </a:prstGeom>
                    <a:noFill/>
                    <a:ln>
                      <a:noFill/>
                    </a:ln>
                  </pic:spPr>
                </pic:pic>
              </a:graphicData>
            </a:graphic>
          </wp:inline>
        </w:drawing>
      </w:r>
    </w:p>
    <w:p w14:paraId="6D2727CB" w14:textId="191501F4" w:rsidR="00BE5A9C" w:rsidRDefault="006614B8" w:rsidP="00BE5A9C">
      <w:pPr>
        <w:widowControl w:val="0"/>
        <w:spacing w:before="100" w:beforeAutospacing="1" w:after="0" w:line="360" w:lineRule="auto"/>
        <w:jc w:val="both"/>
        <w:rPr>
          <w:rFonts w:asciiTheme="majorBidi" w:hAnsiTheme="majorBidi" w:cstheme="majorBidi"/>
          <w:bCs/>
          <w:sz w:val="24"/>
          <w:szCs w:val="24"/>
        </w:rPr>
      </w:pPr>
      <w:r>
        <w:rPr>
          <w:rFonts w:asciiTheme="majorBidi" w:hAnsiTheme="majorBidi" w:cstheme="majorBidi"/>
          <w:b/>
          <w:bCs/>
          <w:sz w:val="24"/>
          <w:szCs w:val="24"/>
        </w:rPr>
        <w:t>Fig</w:t>
      </w:r>
      <w:r w:rsidR="00947D1D">
        <w:rPr>
          <w:rFonts w:asciiTheme="majorBidi" w:hAnsiTheme="majorBidi" w:cstheme="majorBidi"/>
          <w:b/>
          <w:bCs/>
          <w:sz w:val="24"/>
          <w:szCs w:val="24"/>
        </w:rPr>
        <w:t>.</w:t>
      </w:r>
      <w:r>
        <w:rPr>
          <w:rFonts w:asciiTheme="majorBidi" w:hAnsiTheme="majorBidi" w:cstheme="majorBidi"/>
          <w:b/>
          <w:bCs/>
          <w:sz w:val="24"/>
          <w:szCs w:val="24"/>
        </w:rPr>
        <w:t xml:space="preserve"> S</w:t>
      </w:r>
      <w:r w:rsidR="009D3BFB">
        <w:rPr>
          <w:rFonts w:asciiTheme="majorBidi" w:hAnsiTheme="majorBidi" w:cstheme="majorBidi"/>
          <w:b/>
          <w:bCs/>
          <w:sz w:val="24"/>
          <w:szCs w:val="24"/>
        </w:rPr>
        <w:t>3</w:t>
      </w:r>
      <w:r w:rsidR="00F12B09">
        <w:rPr>
          <w:rFonts w:asciiTheme="majorBidi" w:hAnsiTheme="majorBidi" w:cstheme="majorBidi"/>
          <w:b/>
          <w:bCs/>
          <w:sz w:val="24"/>
          <w:szCs w:val="24"/>
        </w:rPr>
        <w:t>.</w:t>
      </w:r>
      <w:r w:rsidR="005611F4">
        <w:rPr>
          <w:rFonts w:asciiTheme="majorBidi" w:hAnsiTheme="majorBidi" w:cstheme="majorBidi"/>
          <w:b/>
          <w:bCs/>
          <w:sz w:val="24"/>
          <w:szCs w:val="24"/>
        </w:rPr>
        <w:t xml:space="preserve"> </w:t>
      </w:r>
      <w:r w:rsidR="005611F4">
        <w:rPr>
          <w:rFonts w:asciiTheme="majorBidi" w:hAnsiTheme="majorBidi" w:cstheme="majorBidi"/>
          <w:b/>
          <w:sz w:val="24"/>
          <w:szCs w:val="24"/>
        </w:rPr>
        <w:t xml:space="preserve">Binding site disposition and analysis of ligand-receptor interactions for the studied </w:t>
      </w:r>
      <w:r w:rsidR="00BE5A9C" w:rsidRPr="00843DDC">
        <w:rPr>
          <w:rFonts w:asciiTheme="majorBidi" w:hAnsiTheme="majorBidi" w:cstheme="majorBidi"/>
          <w:b/>
          <w:i/>
          <w:iCs/>
          <w:sz w:val="24"/>
          <w:szCs w:val="24"/>
        </w:rPr>
        <w:t>VEGF</w:t>
      </w:r>
      <w:r w:rsidR="00BE5A9C">
        <w:rPr>
          <w:rFonts w:asciiTheme="majorBidi" w:hAnsiTheme="majorBidi" w:cstheme="majorBidi"/>
          <w:b/>
          <w:sz w:val="24"/>
          <w:szCs w:val="24"/>
        </w:rPr>
        <w:t xml:space="preserve"> family </w:t>
      </w:r>
      <w:r w:rsidR="005611F4">
        <w:rPr>
          <w:rFonts w:asciiTheme="majorBidi" w:hAnsiTheme="majorBidi" w:cstheme="majorBidi"/>
          <w:b/>
          <w:sz w:val="24"/>
          <w:szCs w:val="24"/>
        </w:rPr>
        <w:t xml:space="preserve">genes. </w:t>
      </w:r>
      <w:r w:rsidR="005611F4">
        <w:rPr>
          <w:rFonts w:asciiTheme="majorBidi" w:hAnsiTheme="majorBidi" w:cstheme="majorBidi"/>
          <w:bCs/>
          <w:sz w:val="24"/>
          <w:szCs w:val="24"/>
        </w:rPr>
        <w:t xml:space="preserve">Chimera </w:t>
      </w:r>
      <w:r w:rsidR="005611F4" w:rsidRPr="00444E02">
        <w:rPr>
          <w:rFonts w:asciiTheme="majorBidi" w:hAnsiTheme="majorBidi" w:cstheme="majorBidi"/>
          <w:bCs/>
          <w:sz w:val="24"/>
          <w:szCs w:val="24"/>
        </w:rPr>
        <w:t>software</w:t>
      </w:r>
      <w:r w:rsidR="005611F4">
        <w:rPr>
          <w:rFonts w:asciiTheme="majorBidi" w:hAnsiTheme="majorBidi" w:cstheme="majorBidi"/>
          <w:bCs/>
          <w:sz w:val="24"/>
          <w:szCs w:val="24"/>
        </w:rPr>
        <w:t xml:space="preserve"> </w:t>
      </w:r>
      <w:r w:rsidR="00DE6692">
        <w:rPr>
          <w:rFonts w:asciiTheme="majorBidi" w:hAnsiTheme="majorBidi" w:cstheme="majorBidi"/>
          <w:bCs/>
          <w:sz w:val="24"/>
          <w:szCs w:val="24"/>
        </w:rPr>
        <w:t>[22]</w:t>
      </w:r>
      <w:r w:rsidR="00290493">
        <w:rPr>
          <w:rFonts w:asciiTheme="majorBidi" w:hAnsiTheme="majorBidi" w:cstheme="majorBidi"/>
          <w:bCs/>
          <w:sz w:val="24"/>
          <w:szCs w:val="24"/>
        </w:rPr>
        <w:t xml:space="preserve"> </w:t>
      </w:r>
      <w:r w:rsidR="005611F4" w:rsidRPr="00444E02">
        <w:rPr>
          <w:rFonts w:asciiTheme="majorBidi" w:hAnsiTheme="majorBidi" w:cstheme="majorBidi"/>
          <w:bCs/>
          <w:sz w:val="24"/>
          <w:szCs w:val="24"/>
        </w:rPr>
        <w:t>was</w:t>
      </w:r>
      <w:r w:rsidR="005611F4">
        <w:rPr>
          <w:rFonts w:asciiTheme="majorBidi" w:hAnsiTheme="majorBidi" w:cstheme="majorBidi"/>
          <w:bCs/>
          <w:sz w:val="24"/>
          <w:szCs w:val="24"/>
        </w:rPr>
        <w:t xml:space="preserve"> </w:t>
      </w:r>
      <w:r w:rsidR="005611F4" w:rsidRPr="00FE4149">
        <w:rPr>
          <w:rFonts w:asciiTheme="majorBidi" w:hAnsiTheme="majorBidi" w:cstheme="majorBidi"/>
          <w:bCs/>
          <w:sz w:val="24"/>
          <w:szCs w:val="24"/>
        </w:rPr>
        <w:t>applied</w:t>
      </w:r>
      <w:r w:rsidR="00FE4149" w:rsidRPr="00FE4149">
        <w:rPr>
          <w:rFonts w:asciiTheme="majorBidi" w:hAnsiTheme="majorBidi" w:cstheme="majorBidi"/>
          <w:bCs/>
          <w:sz w:val="24"/>
          <w:szCs w:val="24"/>
        </w:rPr>
        <w:t xml:space="preserve"> for </w:t>
      </w:r>
      <w:r w:rsidR="00FE4149" w:rsidRPr="009D3BFB">
        <w:rPr>
          <w:rFonts w:asciiTheme="majorBidi" w:hAnsiTheme="majorBidi" w:cstheme="majorBidi"/>
          <w:bCs/>
          <w:sz w:val="24"/>
          <w:szCs w:val="24"/>
        </w:rPr>
        <w:t xml:space="preserve">the analysis of binding site disposition and the ligand-receptor interactions of 4KZN, 2C7W, 2X1W, 1RV6, and 5EW3. The </w:t>
      </w:r>
      <w:r w:rsidR="00FE4149" w:rsidRPr="009D3BFB">
        <w:rPr>
          <w:rFonts w:asciiTheme="majorBidi" w:hAnsiTheme="majorBidi" w:cstheme="majorBidi"/>
          <w:bCs/>
          <w:sz w:val="24"/>
          <w:szCs w:val="24"/>
        </w:rPr>
        <w:lastRenderedPageBreak/>
        <w:t xml:space="preserve">amino acid disposition of theses receptor binding sites, their chemical nature, and the interactive amino acids as well were defined. For 4KZN; the co-crystallized ligand forms three hydrogen bonds (HB) with the Ser 95A, for 2C7W; it forms 1HB with Gln 79B, for 2X1W; it forms 1HB with Tyr150O, for 1RV6; it forms 1HB with Glu101W, for 5EW3; it forms 3HB with Cys 919A and Asp 1046A. Moreover, the lipophilic interaction with the lipophilic amino acids. Hence, these interactive (key) amino acids have not been subjected to variance (mutation) to maintain the biological function in which they are responsible. </w:t>
      </w:r>
      <w:r w:rsidR="00BE5A9C" w:rsidRPr="009D3BFB">
        <w:rPr>
          <w:rFonts w:asciiTheme="majorBidi" w:hAnsiTheme="majorBidi" w:cstheme="majorBidi"/>
          <w:bCs/>
          <w:sz w:val="24"/>
          <w:szCs w:val="24"/>
        </w:rPr>
        <w:t>Co-crystallized ligand [green skeleton], blue regions for lipophilic areas and the red ones for hydrophilic areas.</w:t>
      </w:r>
    </w:p>
    <w:p w14:paraId="021CC230" w14:textId="122E7FB9" w:rsidR="00FE4149" w:rsidRPr="00947D1D" w:rsidRDefault="00FE4149" w:rsidP="00FE4149">
      <w:pPr>
        <w:widowControl w:val="0"/>
        <w:spacing w:before="100" w:beforeAutospacing="1" w:after="0" w:line="360" w:lineRule="auto"/>
        <w:jc w:val="both"/>
        <w:rPr>
          <w:rFonts w:asciiTheme="majorBidi" w:hAnsiTheme="majorBidi" w:cstheme="majorBidi"/>
          <w:bCs/>
          <w:sz w:val="24"/>
          <w:szCs w:val="24"/>
        </w:rPr>
      </w:pPr>
    </w:p>
    <w:p w14:paraId="54AB41FB" w14:textId="24526C07" w:rsidR="006614B8" w:rsidRPr="00947D1D" w:rsidRDefault="006614B8" w:rsidP="00947D1D">
      <w:pPr>
        <w:widowControl w:val="0"/>
        <w:spacing w:before="100" w:beforeAutospacing="1" w:after="0" w:line="360" w:lineRule="auto"/>
        <w:jc w:val="both"/>
        <w:rPr>
          <w:rFonts w:asciiTheme="majorBidi" w:hAnsiTheme="majorBidi" w:cstheme="majorBidi"/>
          <w:bCs/>
          <w:sz w:val="24"/>
          <w:szCs w:val="24"/>
        </w:rPr>
      </w:pPr>
    </w:p>
    <w:sectPr w:rsidR="006614B8" w:rsidRPr="00947D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1NbIwtjQ0NzIyNzRR0lEKTi0uzszPAykwrQUAcfz9HywAAAA="/>
  </w:docVars>
  <w:rsids>
    <w:rsidRoot w:val="00E85CFC"/>
    <w:rsid w:val="000763F7"/>
    <w:rsid w:val="000901CD"/>
    <w:rsid w:val="00101B90"/>
    <w:rsid w:val="00161B3B"/>
    <w:rsid w:val="001C50AD"/>
    <w:rsid w:val="00290493"/>
    <w:rsid w:val="003B262B"/>
    <w:rsid w:val="005611F4"/>
    <w:rsid w:val="005841E7"/>
    <w:rsid w:val="005B155F"/>
    <w:rsid w:val="0062780D"/>
    <w:rsid w:val="006614B8"/>
    <w:rsid w:val="008B1109"/>
    <w:rsid w:val="00947D1D"/>
    <w:rsid w:val="0098429D"/>
    <w:rsid w:val="009D3BFB"/>
    <w:rsid w:val="00BE5A9C"/>
    <w:rsid w:val="00CA6285"/>
    <w:rsid w:val="00D03BC5"/>
    <w:rsid w:val="00D44706"/>
    <w:rsid w:val="00D75890"/>
    <w:rsid w:val="00DE6692"/>
    <w:rsid w:val="00E56706"/>
    <w:rsid w:val="00E62B32"/>
    <w:rsid w:val="00E85CFC"/>
    <w:rsid w:val="00EB3622"/>
    <w:rsid w:val="00F12B09"/>
    <w:rsid w:val="00FE41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62D6E"/>
  <w15:docId w15:val="{19DF63F2-C041-4CD1-B82F-23641A65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CFC"/>
    <w:rPr>
      <w:rFonts w:ascii="Tahoma" w:hAnsi="Tahoma" w:cs="Tahoma"/>
      <w:sz w:val="16"/>
      <w:szCs w:val="16"/>
    </w:rPr>
  </w:style>
  <w:style w:type="table" w:styleId="TableGrid">
    <w:name w:val="Table Grid"/>
    <w:basedOn w:val="TableNormal"/>
    <w:uiPriority w:val="39"/>
    <w:rsid w:val="00E8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85C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03741">
      <w:bodyDiv w:val="1"/>
      <w:marLeft w:val="0"/>
      <w:marRight w:val="0"/>
      <w:marTop w:val="0"/>
      <w:marBottom w:val="0"/>
      <w:divBdr>
        <w:top w:val="none" w:sz="0" w:space="0" w:color="auto"/>
        <w:left w:val="none" w:sz="0" w:space="0" w:color="auto"/>
        <w:bottom w:val="none" w:sz="0" w:space="0" w:color="auto"/>
        <w:right w:val="none" w:sz="0" w:space="0" w:color="auto"/>
      </w:divBdr>
    </w:div>
    <w:div w:id="790585977">
      <w:bodyDiv w:val="1"/>
      <w:marLeft w:val="0"/>
      <w:marRight w:val="0"/>
      <w:marTop w:val="0"/>
      <w:marBottom w:val="0"/>
      <w:divBdr>
        <w:top w:val="none" w:sz="0" w:space="0" w:color="auto"/>
        <w:left w:val="none" w:sz="0" w:space="0" w:color="auto"/>
        <w:bottom w:val="none" w:sz="0" w:space="0" w:color="auto"/>
        <w:right w:val="none" w:sz="0" w:space="0" w:color="auto"/>
      </w:divBdr>
    </w:div>
    <w:div w:id="1000736174">
      <w:bodyDiv w:val="1"/>
      <w:marLeft w:val="0"/>
      <w:marRight w:val="0"/>
      <w:marTop w:val="0"/>
      <w:marBottom w:val="0"/>
      <w:divBdr>
        <w:top w:val="none" w:sz="0" w:space="0" w:color="auto"/>
        <w:left w:val="none" w:sz="0" w:space="0" w:color="auto"/>
        <w:bottom w:val="none" w:sz="0" w:space="0" w:color="auto"/>
        <w:right w:val="none" w:sz="0" w:space="0" w:color="auto"/>
      </w:divBdr>
    </w:div>
    <w:div w:id="1069957871">
      <w:bodyDiv w:val="1"/>
      <w:marLeft w:val="0"/>
      <w:marRight w:val="0"/>
      <w:marTop w:val="0"/>
      <w:marBottom w:val="0"/>
      <w:divBdr>
        <w:top w:val="none" w:sz="0" w:space="0" w:color="auto"/>
        <w:left w:val="none" w:sz="0" w:space="0" w:color="auto"/>
        <w:bottom w:val="none" w:sz="0" w:space="0" w:color="auto"/>
        <w:right w:val="none" w:sz="0" w:space="0" w:color="auto"/>
      </w:divBdr>
    </w:div>
    <w:div w:id="1410806358">
      <w:bodyDiv w:val="1"/>
      <w:marLeft w:val="0"/>
      <w:marRight w:val="0"/>
      <w:marTop w:val="0"/>
      <w:marBottom w:val="0"/>
      <w:divBdr>
        <w:top w:val="none" w:sz="0" w:space="0" w:color="auto"/>
        <w:left w:val="none" w:sz="0" w:space="0" w:color="auto"/>
        <w:bottom w:val="none" w:sz="0" w:space="0" w:color="auto"/>
        <w:right w:val="none" w:sz="0" w:space="0" w:color="auto"/>
      </w:divBdr>
    </w:div>
    <w:div w:id="1548419694">
      <w:bodyDiv w:val="1"/>
      <w:marLeft w:val="0"/>
      <w:marRight w:val="0"/>
      <w:marTop w:val="0"/>
      <w:marBottom w:val="0"/>
      <w:divBdr>
        <w:top w:val="none" w:sz="0" w:space="0" w:color="auto"/>
        <w:left w:val="none" w:sz="0" w:space="0" w:color="auto"/>
        <w:bottom w:val="none" w:sz="0" w:space="0" w:color="auto"/>
        <w:right w:val="none" w:sz="0" w:space="0" w:color="auto"/>
      </w:divBdr>
    </w:div>
    <w:div w:id="1584144101">
      <w:bodyDiv w:val="1"/>
      <w:marLeft w:val="0"/>
      <w:marRight w:val="0"/>
      <w:marTop w:val="0"/>
      <w:marBottom w:val="0"/>
      <w:divBdr>
        <w:top w:val="none" w:sz="0" w:space="0" w:color="auto"/>
        <w:left w:val="none" w:sz="0" w:space="0" w:color="auto"/>
        <w:bottom w:val="none" w:sz="0" w:space="0" w:color="auto"/>
        <w:right w:val="none" w:sz="0" w:space="0" w:color="auto"/>
      </w:divBdr>
    </w:div>
    <w:div w:id="1676876980">
      <w:bodyDiv w:val="1"/>
      <w:marLeft w:val="0"/>
      <w:marRight w:val="0"/>
      <w:marTop w:val="0"/>
      <w:marBottom w:val="0"/>
      <w:divBdr>
        <w:top w:val="none" w:sz="0" w:space="0" w:color="auto"/>
        <w:left w:val="none" w:sz="0" w:space="0" w:color="auto"/>
        <w:bottom w:val="none" w:sz="0" w:space="0" w:color="auto"/>
        <w:right w:val="none" w:sz="0" w:space="0" w:color="auto"/>
      </w:divBdr>
    </w:div>
    <w:div w:id="187364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tring-db.org" TargetMode="External"/><Relationship Id="rId5" Type="http://schemas.openxmlformats.org/officeDocument/2006/relationships/image" Target="media/image2.pn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Amr142921</cp:lastModifiedBy>
  <cp:revision>25</cp:revision>
  <dcterms:created xsi:type="dcterms:W3CDTF">2019-05-29T07:05:00Z</dcterms:created>
  <dcterms:modified xsi:type="dcterms:W3CDTF">2020-07-24T22:03:00Z</dcterms:modified>
</cp:coreProperties>
</file>